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pacing w:line="640" w:lineRule="exact"/>
        <w:jc w:val="both"/>
        <w:textAlignment w:val="auto"/>
        <w:rPr>
          <w:rFonts w:hint="eastAsia" w:ascii="仿宋_GB2312" w:eastAsia="仿宋_GB2312"/>
          <w:b/>
          <w:color w:val="auto"/>
          <w:sz w:val="44"/>
          <w:szCs w:val="44"/>
          <w:u w:val="none"/>
        </w:rPr>
      </w:pPr>
    </w:p>
    <w:p>
      <w:pPr>
        <w:keepNext w:val="0"/>
        <w:keepLines w:val="0"/>
        <w:pageBreakBefore w:val="0"/>
        <w:kinsoku/>
        <w:wordWrap/>
        <w:overflowPunct/>
        <w:topLinePunct w:val="0"/>
        <w:autoSpaceDE/>
        <w:autoSpaceDN/>
        <w:bidi w:val="0"/>
        <w:adjustRightInd w:val="0"/>
        <w:spacing w:line="640" w:lineRule="exact"/>
        <w:jc w:val="both"/>
        <w:textAlignment w:val="auto"/>
        <w:rPr>
          <w:rFonts w:hint="eastAsia" w:ascii="仿宋_GB2312" w:eastAsia="仿宋_GB2312"/>
          <w:b/>
          <w:color w:val="auto"/>
          <w:sz w:val="44"/>
          <w:szCs w:val="44"/>
          <w:u w:val="none"/>
        </w:rPr>
      </w:pPr>
    </w:p>
    <w:p>
      <w:pPr>
        <w:keepNext w:val="0"/>
        <w:keepLines w:val="0"/>
        <w:pageBreakBefore w:val="0"/>
        <w:kinsoku/>
        <w:wordWrap/>
        <w:overflowPunct/>
        <w:topLinePunct w:val="0"/>
        <w:autoSpaceDE/>
        <w:autoSpaceDN/>
        <w:bidi w:val="0"/>
        <w:adjustRightInd w:val="0"/>
        <w:spacing w:line="640" w:lineRule="exact"/>
        <w:jc w:val="both"/>
        <w:textAlignment w:val="auto"/>
        <w:rPr>
          <w:rFonts w:hint="eastAsia" w:ascii="仿宋_GB2312" w:eastAsia="仿宋_GB2312"/>
          <w:b/>
          <w:color w:val="auto"/>
          <w:sz w:val="44"/>
          <w:szCs w:val="44"/>
          <w:u w:val="none"/>
        </w:rPr>
      </w:pPr>
    </w:p>
    <w:p>
      <w:pPr>
        <w:keepNext w:val="0"/>
        <w:keepLines w:val="0"/>
        <w:pageBreakBefore w:val="0"/>
        <w:kinsoku/>
        <w:wordWrap/>
        <w:overflowPunct/>
        <w:topLinePunct w:val="0"/>
        <w:autoSpaceDE/>
        <w:autoSpaceDN/>
        <w:bidi w:val="0"/>
        <w:adjustRightInd w:val="0"/>
        <w:spacing w:line="640" w:lineRule="exact"/>
        <w:jc w:val="both"/>
        <w:textAlignment w:val="auto"/>
        <w:rPr>
          <w:rFonts w:hint="eastAsia" w:ascii="仿宋_GB2312" w:eastAsia="仿宋_GB2312"/>
          <w:b/>
          <w:color w:val="auto"/>
          <w:sz w:val="44"/>
          <w:szCs w:val="44"/>
          <w:u w:val="none"/>
        </w:rPr>
      </w:pPr>
    </w:p>
    <w:p>
      <w:pPr>
        <w:keepNext w:val="0"/>
        <w:keepLines w:val="0"/>
        <w:pageBreakBefore w:val="0"/>
        <w:kinsoku/>
        <w:wordWrap/>
        <w:overflowPunct/>
        <w:topLinePunct w:val="0"/>
        <w:autoSpaceDE/>
        <w:autoSpaceDN/>
        <w:bidi w:val="0"/>
        <w:adjustRightInd w:val="0"/>
        <w:spacing w:line="640" w:lineRule="exact"/>
        <w:jc w:val="both"/>
        <w:textAlignment w:val="auto"/>
        <w:rPr>
          <w:rFonts w:hint="eastAsia" w:ascii="仿宋_GB2312" w:eastAsia="仿宋_GB2312"/>
          <w:b/>
          <w:color w:val="auto"/>
          <w:sz w:val="44"/>
          <w:szCs w:val="44"/>
          <w:u w:val="none"/>
        </w:rPr>
      </w:pPr>
    </w:p>
    <w:p>
      <w:pPr>
        <w:keepNext w:val="0"/>
        <w:keepLines w:val="0"/>
        <w:pageBreakBefore w:val="0"/>
        <w:kinsoku/>
        <w:wordWrap/>
        <w:overflowPunct/>
        <w:topLinePunct w:val="0"/>
        <w:autoSpaceDE/>
        <w:autoSpaceDN/>
        <w:bidi w:val="0"/>
        <w:adjustRightInd w:val="0"/>
        <w:spacing w:line="640" w:lineRule="exact"/>
        <w:jc w:val="both"/>
        <w:textAlignment w:val="auto"/>
        <w:rPr>
          <w:rFonts w:hint="eastAsia" w:ascii="仿宋_GB2312" w:eastAsia="仿宋_GB2312"/>
          <w:b/>
          <w:color w:val="auto"/>
          <w:sz w:val="44"/>
          <w:szCs w:val="44"/>
          <w:u w:val="none"/>
        </w:rPr>
      </w:pPr>
    </w:p>
    <w:p>
      <w:pPr>
        <w:keepNext w:val="0"/>
        <w:keepLines w:val="0"/>
        <w:pageBreakBefore w:val="0"/>
        <w:kinsoku/>
        <w:wordWrap/>
        <w:overflowPunct/>
        <w:topLinePunct w:val="0"/>
        <w:autoSpaceDE/>
        <w:autoSpaceDN/>
        <w:bidi w:val="0"/>
        <w:adjustRightInd w:val="0"/>
        <w:spacing w:line="640" w:lineRule="exact"/>
        <w:jc w:val="both"/>
        <w:textAlignment w:val="auto"/>
        <w:rPr>
          <w:rFonts w:hint="eastAsia" w:ascii="仿宋_GB2312" w:eastAsia="仿宋_GB2312"/>
          <w:b/>
          <w:color w:val="auto"/>
          <w:sz w:val="44"/>
          <w:szCs w:val="44"/>
          <w:u w:val="none"/>
        </w:rPr>
      </w:pPr>
    </w:p>
    <w:p>
      <w:pPr>
        <w:keepNext w:val="0"/>
        <w:keepLines w:val="0"/>
        <w:pageBreakBefore w:val="0"/>
        <w:kinsoku/>
        <w:wordWrap/>
        <w:overflowPunct/>
        <w:topLinePunct w:val="0"/>
        <w:autoSpaceDE/>
        <w:autoSpaceDN/>
        <w:bidi w:val="0"/>
        <w:adjustRightInd w:val="0"/>
        <w:spacing w:line="640" w:lineRule="exact"/>
        <w:jc w:val="both"/>
        <w:textAlignment w:val="auto"/>
        <w:rPr>
          <w:rFonts w:hint="eastAsia" w:ascii="仿宋_GB2312" w:eastAsia="仿宋_GB2312"/>
          <w:b/>
          <w:color w:val="auto"/>
          <w:sz w:val="44"/>
          <w:szCs w:val="44"/>
          <w:u w:val="none"/>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仿宋_GB2312" w:hAnsi="仿宋_GB2312" w:eastAsia="仿宋_GB2312" w:cs="仿宋_GB2312"/>
          <w:b/>
          <w:color w:val="auto"/>
          <w:sz w:val="32"/>
          <w:szCs w:val="32"/>
          <w:u w:val="none"/>
        </w:rPr>
      </w:pPr>
      <w:r>
        <w:rPr>
          <w:rFonts w:hint="eastAsia" w:ascii="仿宋_GB2312" w:hAnsi="仿宋_GB2312" w:eastAsia="仿宋_GB2312" w:cs="仿宋_GB2312"/>
          <w:sz w:val="32"/>
          <w:szCs w:val="32"/>
        </w:rPr>
        <w:t>包民发〔20</w:t>
      </w:r>
      <w:r>
        <w:rPr>
          <w:rFonts w:hint="eastAsia" w:ascii="仿宋_GB2312" w:hAnsi="仿宋_GB2312" w:eastAsia="仿宋_GB2312" w:cs="仿宋_GB2312"/>
          <w:sz w:val="32"/>
          <w:szCs w:val="32"/>
          <w:lang w:val="en-US" w:eastAsia="zh-CN"/>
        </w:rPr>
        <w:t>2</w:t>
      </w:r>
      <w:r>
        <w:rPr>
          <w:rFonts w:hint="eastAsia" w:cs="仿宋_GB2312"/>
          <w:sz w:val="32"/>
          <w:szCs w:val="32"/>
          <w:lang w:val="en-US" w:eastAsia="zh-CN"/>
        </w:rPr>
        <w:t>3</w:t>
      </w:r>
      <w:r>
        <w:rPr>
          <w:rFonts w:hint="eastAsia" w:ascii="仿宋_GB2312" w:hAnsi="仿宋_GB2312" w:eastAsia="仿宋_GB2312" w:cs="仿宋_GB2312"/>
          <w:sz w:val="32"/>
          <w:szCs w:val="32"/>
        </w:rPr>
        <w:t>〕</w:t>
      </w:r>
      <w:r>
        <w:rPr>
          <w:rFonts w:hint="eastAsia" w:cs="仿宋_GB2312"/>
          <w:sz w:val="32"/>
          <w:szCs w:val="32"/>
          <w:lang w:val="en-US" w:eastAsia="zh-CN"/>
        </w:rPr>
        <w:t>66</w:t>
      </w:r>
      <w:bookmarkStart w:id="0" w:name="_GoBack"/>
      <w:bookmarkEnd w:id="0"/>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val="0"/>
        <w:snapToGrid/>
        <w:spacing w:line="580" w:lineRule="exact"/>
        <w:jc w:val="center"/>
        <w:textAlignment w:val="auto"/>
        <w:rPr>
          <w:rFonts w:hint="eastAsia" w:ascii="宋体" w:hAnsi="宋体"/>
          <w:b/>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40" w:lineRule="exact"/>
        <w:ind w:right="0" w:righ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关于进一步完善流浪乞讨人员救治</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“绿色通道”工作的通知</w:t>
      </w:r>
    </w:p>
    <w:p>
      <w:pPr>
        <w:ind w:firstLine="640" w:firstLineChars="200"/>
        <w:rPr>
          <w:rFonts w:hint="eastAsia"/>
        </w:rPr>
      </w:pPr>
    </w:p>
    <w:p>
      <w:pPr>
        <w:rPr>
          <w:rFonts w:hint="eastAsia"/>
        </w:rPr>
      </w:pPr>
      <w:r>
        <w:rPr>
          <w:rFonts w:hint="eastAsia"/>
        </w:rPr>
        <w:t>各旗县区民政局、卫健委，稀土高新区社会事务局，</w:t>
      </w:r>
      <w:r>
        <w:rPr>
          <w:rFonts w:hint="eastAsia"/>
          <w:lang w:val="en-US" w:eastAsia="zh-CN"/>
        </w:rPr>
        <w:t>各医疗机构，</w:t>
      </w:r>
      <w:r>
        <w:rPr>
          <w:rFonts w:hint="eastAsia"/>
        </w:rPr>
        <w:t>市救助站：</w:t>
      </w:r>
    </w:p>
    <w:p>
      <w:pPr>
        <w:ind w:firstLine="640" w:firstLineChars="200"/>
        <w:rPr>
          <w:rFonts w:hint="eastAsia"/>
        </w:rPr>
      </w:pPr>
      <w:r>
        <w:rPr>
          <w:rFonts w:hint="eastAsia"/>
        </w:rPr>
        <w:t>为了进一步贯彻落实《民政部、公安部、财政部等6部门关于进一步做好城市流浪乞讨人员中危重病人、精神病人救治工作的指导意见》（民发〔2006〕6号）、《民政部关于印发生活无着的流浪乞讨救助管理机构工作规程的通知》（民发〔2022〕98号）、《民政部、国家卫生健康委关于印发</w:t>
      </w:r>
      <w:r>
        <w:rPr>
          <w:rFonts w:hint="eastAsia"/>
          <w:lang w:val="en-US" w:eastAsia="zh-CN"/>
        </w:rPr>
        <w:t>疑似</w:t>
      </w:r>
      <w:r>
        <w:rPr>
          <w:rFonts w:hint="eastAsia"/>
        </w:rPr>
        <w:t>精神障碍流浪乞讨受助人员送医诊治工作规程的通知》（民发〔2022〕78号）</w:t>
      </w:r>
      <w:r>
        <w:rPr>
          <w:rFonts w:hint="eastAsia"/>
          <w:lang w:eastAsia="zh-CN"/>
        </w:rPr>
        <w:t>、</w:t>
      </w:r>
      <w:r>
        <w:rPr>
          <w:rFonts w:hint="eastAsia"/>
        </w:rPr>
        <w:t>《包头市城市生活无着流浪乞讨人员救助管理工作协调小组印发&lt;关于加强和改进生活无着流浪乞讨人员救助管理工作的实施意见&gt;的通知》（〔2019〕1号）文件精神，现将</w:t>
      </w:r>
      <w:r>
        <w:rPr>
          <w:rFonts w:hint="eastAsia"/>
          <w:lang w:val="en-US" w:eastAsia="zh-CN"/>
        </w:rPr>
        <w:t>相关事宜</w:t>
      </w:r>
      <w:r>
        <w:rPr>
          <w:rFonts w:hint="eastAsia"/>
        </w:rPr>
        <w:t>通知如下：</w:t>
      </w:r>
    </w:p>
    <w:p>
      <w:pPr>
        <w:ind w:firstLine="640" w:firstLineChars="200"/>
        <w:rPr>
          <w:rFonts w:hint="default" w:ascii="黑体" w:hAnsi="黑体" w:eastAsia="黑体" w:cs="黑体"/>
          <w:lang w:val="en-US" w:eastAsia="zh-CN"/>
        </w:rPr>
      </w:pPr>
      <w:r>
        <w:rPr>
          <w:rFonts w:hint="eastAsia" w:ascii="黑体" w:hAnsi="黑体" w:eastAsia="黑体" w:cs="黑体"/>
        </w:rPr>
        <w:t>一、进一步</w:t>
      </w:r>
      <w:r>
        <w:rPr>
          <w:rFonts w:hint="eastAsia" w:ascii="黑体" w:hAnsi="黑体" w:eastAsia="黑体" w:cs="黑体"/>
          <w:lang w:val="en-US" w:eastAsia="zh-CN"/>
        </w:rPr>
        <w:t>加强医疗救治工作</w:t>
      </w:r>
    </w:p>
    <w:p>
      <w:pPr>
        <w:ind w:firstLine="640" w:firstLineChars="200"/>
        <w:rPr>
          <w:rFonts w:hint="eastAsia"/>
          <w:lang w:val="en-US" w:eastAsia="zh-CN"/>
        </w:rPr>
      </w:pPr>
      <w:r>
        <w:rPr>
          <w:rFonts w:hint="eastAsia"/>
          <w:lang w:val="en-US" w:eastAsia="zh-CN"/>
        </w:rPr>
        <w:t>各旗县区</w:t>
      </w:r>
      <w:r>
        <w:rPr>
          <w:rFonts w:hint="eastAsia"/>
        </w:rPr>
        <w:t>民政部门</w:t>
      </w:r>
      <w:r>
        <w:rPr>
          <w:rFonts w:hint="eastAsia"/>
          <w:lang w:eastAsia="zh-CN"/>
        </w:rPr>
        <w:t>、</w:t>
      </w:r>
      <w:r>
        <w:rPr>
          <w:rFonts w:hint="eastAsia"/>
          <w:lang w:val="en-US" w:eastAsia="zh-CN"/>
        </w:rPr>
        <w:t>救助管理机构，</w:t>
      </w:r>
      <w:r>
        <w:rPr>
          <w:rFonts w:hint="eastAsia"/>
        </w:rPr>
        <w:t>负责流浪乞讨病人的救助工作</w:t>
      </w:r>
      <w:r>
        <w:rPr>
          <w:rFonts w:hint="eastAsia"/>
          <w:lang w:eastAsia="zh-CN"/>
        </w:rPr>
        <w:t>，</w:t>
      </w:r>
      <w:r>
        <w:rPr>
          <w:rFonts w:hint="eastAsia"/>
          <w:lang w:val="en-US" w:eastAsia="zh-CN"/>
        </w:rPr>
        <w:t>发现受助人员在精神状况、肢体行为、情绪反应存在异常情形的，应当及时就医诊治。由公安机关、城市管理行政执法和其他行政机关直接护送疑似精神障碍患者、危重病人或有明显外伤人员到医疗机构救治的，民政部门、救助管理机构在接到通知后及时到医疗机构甄别和确认病人身份，符合救助条件的积极配合医疗机构对受助人员进行救治，</w:t>
      </w:r>
      <w:r>
        <w:rPr>
          <w:rFonts w:hint="eastAsia" w:ascii="仿宋_GB2312" w:hAnsi="仿宋_GB2312" w:eastAsia="仿宋_GB2312"/>
          <w:sz w:val="32"/>
          <w:szCs w:val="32"/>
          <w:lang w:eastAsia="zh-CN"/>
        </w:rPr>
        <w:t>医疗费用按照财政部、民政部、中央机构编制委员会办公室《关于实施城市生活无着的流浪乞讨人员救助管理办法有关机构编制和经费问题的通知》（财社﹝2003﹞83号）的有关规定，通过民政部门现行救助管理经费渠道解决。</w:t>
      </w:r>
    </w:p>
    <w:p>
      <w:pPr>
        <w:ind w:firstLine="640" w:firstLineChars="200"/>
        <w:rPr>
          <w:rFonts w:hint="default" w:ascii="黑体" w:hAnsi="黑体" w:eastAsia="黑体" w:cs="黑体"/>
          <w:lang w:val="en-US" w:eastAsia="zh-CN"/>
        </w:rPr>
      </w:pPr>
      <w:r>
        <w:rPr>
          <w:rFonts w:hint="eastAsia" w:ascii="黑体" w:hAnsi="黑体" w:eastAsia="黑体" w:cs="黑体"/>
          <w:lang w:val="en-US" w:eastAsia="zh-CN"/>
        </w:rPr>
        <w:t>二、进一步规范诊断和治疗程序</w:t>
      </w:r>
    </w:p>
    <w:p>
      <w:pPr>
        <w:ind w:firstLine="640" w:firstLineChars="200"/>
        <w:rPr>
          <w:rFonts w:hint="eastAsia"/>
          <w:lang w:val="en-US" w:eastAsia="zh-CN"/>
        </w:rPr>
      </w:pPr>
      <w:r>
        <w:rPr>
          <w:rFonts w:hint="eastAsia"/>
          <w:lang w:val="en-US" w:eastAsia="zh-CN"/>
        </w:rPr>
        <w:t>各旗县区卫健委要至少确定一所公办医疗机构（优先选择具有精神障碍诊疗服务资质的公办医疗机构）对疑似精神障碍受助人员进行诊断。相关医疗机构接到送诊的疑似精神障碍受助人员后，要规范提供诊疗服务，由不同精神执业医师进行两次诊断，并及时出具诊断结论，诊断记录内容应当真实、客观、准确完整。经诊断受助人员非精神障碍患者或无法明确诊断的应通知送诊机构接回。接诊机构定期对精神障碍受助人员进行检查评估，评估结果表明病情稳定不需要继续治疗的，应当及时通知送诊机构接回。</w:t>
      </w:r>
    </w:p>
    <w:p>
      <w:pPr>
        <w:ind w:firstLine="640" w:firstLineChars="200"/>
        <w:rPr>
          <w:rFonts w:hint="default"/>
          <w:lang w:val="en-US" w:eastAsia="zh-CN"/>
        </w:rPr>
      </w:pPr>
      <w:r>
        <w:rPr>
          <w:rFonts w:hint="eastAsia"/>
          <w:lang w:val="en-US" w:eastAsia="zh-CN"/>
        </w:rPr>
        <w:t>需要对受助人员施行手术、特殊检查或者特殊治疗时，受助人员可以表达意见的，应当由受助人员自行决定，因抢救生命垂危的受助人员等紧急情况，无法取得受助人员或者与其一同受助的近亲属意见，医疗机构按照《中华人民共和国民法典》关于医疗机构紧急救助措施的规定处置。在对未成年进行救治过程中以医疗机构意见为主。</w:t>
      </w:r>
      <w:r>
        <w:rPr>
          <w:rFonts w:hint="default"/>
          <w:lang w:val="en-US" w:eastAsia="zh-CN"/>
        </w:rPr>
        <w:t>受助人员住院期间，医疗机构要严格执行当地基本医疗服务收费标准，严格按照诊疗技术规范、紧急救治标准，实施合理检查及治疗，所用药品应在基本药物目录范围内。需要超范围用药或进行大型器械检查的，</w:t>
      </w:r>
      <w:r>
        <w:rPr>
          <w:rFonts w:hint="eastAsia"/>
          <w:lang w:val="en-US" w:eastAsia="zh-CN"/>
        </w:rPr>
        <w:t>原则上</w:t>
      </w:r>
      <w:r>
        <w:rPr>
          <w:rFonts w:hint="default"/>
          <w:lang w:val="en-US" w:eastAsia="zh-CN"/>
        </w:rPr>
        <w:t>须经送诊机构同意后方可实施。</w:t>
      </w:r>
    </w:p>
    <w:p>
      <w:pPr>
        <w:ind w:firstLine="640" w:firstLineChars="200"/>
        <w:rPr>
          <w:rFonts w:hint="eastAsia" w:ascii="黑体" w:hAnsi="黑体" w:eastAsia="黑体" w:cs="黑体"/>
        </w:rPr>
      </w:pPr>
      <w:r>
        <w:rPr>
          <w:rFonts w:hint="eastAsia" w:ascii="黑体" w:hAnsi="黑体" w:eastAsia="黑体" w:cs="黑体"/>
          <w:lang w:val="en-US" w:eastAsia="zh-CN"/>
        </w:rPr>
        <w:t>三、进一步</w:t>
      </w:r>
      <w:r>
        <w:rPr>
          <w:rFonts w:hint="eastAsia" w:ascii="黑体" w:hAnsi="黑体" w:eastAsia="黑体" w:cs="黑体"/>
        </w:rPr>
        <w:t>完善医疗救治“绿色通道”</w:t>
      </w:r>
    </w:p>
    <w:p>
      <w:pPr>
        <w:ind w:firstLine="640" w:firstLineChars="200"/>
        <w:rPr>
          <w:rFonts w:hint="default"/>
          <w:lang w:val="en-US" w:eastAsia="zh-CN"/>
        </w:rPr>
      </w:pPr>
      <w:r>
        <w:rPr>
          <w:rFonts w:hint="eastAsia"/>
          <w:lang w:val="en-US" w:eastAsia="zh-CN"/>
        </w:rPr>
        <w:t>卫健部门指导辖区相关公办医疗机构积极与民政部门、救助管理机构签订就诊协议，并开通“绿色通道”，按照先救治后结算的方式积极救治患病的流浪乞讨人员，救治结束后，民政部门、救助管理机构要及时进行医疗费用结算。接诊机构</w:t>
      </w:r>
      <w:r>
        <w:rPr>
          <w:rFonts w:hint="eastAsia"/>
        </w:rPr>
        <w:t>应实行首诊负责制</w:t>
      </w:r>
      <w:r>
        <w:rPr>
          <w:rFonts w:hint="eastAsia"/>
          <w:lang w:eastAsia="zh-CN"/>
        </w:rPr>
        <w:t>，</w:t>
      </w:r>
      <w:r>
        <w:rPr>
          <w:rFonts w:hint="eastAsia"/>
        </w:rPr>
        <w:t>流浪乞讨病人</w:t>
      </w:r>
      <w:r>
        <w:rPr>
          <w:rFonts w:hint="eastAsia"/>
          <w:lang w:val="en-US" w:eastAsia="zh-CN"/>
        </w:rPr>
        <w:t>同时患有多种疾病不能在同一家医疗机构得到诊治的，由首诊医疗机构先行救治，并视情联系相关医疗机构会诊、转诊。多家医疗机构在诊治过程中存在困难的，卫健部门应积极协调解决。</w:t>
      </w:r>
    </w:p>
    <w:p>
      <w:pPr>
        <w:ind w:firstLine="320" w:firstLineChars="100"/>
        <w:rPr>
          <w:rFonts w:hint="eastAsia"/>
        </w:rPr>
      </w:pPr>
    </w:p>
    <w:p>
      <w:pPr>
        <w:ind w:firstLine="320" w:firstLineChars="100"/>
        <w:rPr>
          <w:rFonts w:hint="eastAsia"/>
        </w:rPr>
      </w:pPr>
    </w:p>
    <w:p>
      <w:pPr>
        <w:ind w:firstLine="640" w:firstLineChars="200"/>
        <w:rPr>
          <w:rFonts w:hint="eastAsia"/>
        </w:rPr>
      </w:pPr>
      <w:r>
        <w:rPr>
          <w:rFonts w:hint="eastAsia"/>
        </w:rPr>
        <w:t xml:space="preserve">包头市民政局       </w:t>
      </w:r>
      <w:r>
        <w:rPr>
          <w:rFonts w:hint="eastAsia"/>
          <w:lang w:val="en-US" w:eastAsia="zh-CN"/>
        </w:rPr>
        <w:t xml:space="preserve">       </w:t>
      </w:r>
      <w:r>
        <w:rPr>
          <w:rFonts w:hint="eastAsia"/>
        </w:rPr>
        <w:t xml:space="preserve">包头市卫生健康委员会   </w:t>
      </w:r>
    </w:p>
    <w:p>
      <w:pPr>
        <w:ind w:firstLine="5120" w:firstLineChars="1600"/>
        <w:rPr>
          <w:rFonts w:hint="eastAsia"/>
        </w:rPr>
      </w:pPr>
      <w:r>
        <w:rPr>
          <w:rFonts w:hint="eastAsia"/>
        </w:rPr>
        <w:t>2023年1</w:t>
      </w:r>
      <w:r>
        <w:rPr>
          <w:rFonts w:hint="eastAsia"/>
          <w:lang w:val="en-US" w:eastAsia="zh-CN"/>
        </w:rPr>
        <w:t>2</w:t>
      </w:r>
      <w:r>
        <w:rPr>
          <w:rFonts w:hint="eastAsia"/>
        </w:rPr>
        <w:t>月</w:t>
      </w:r>
      <w:r>
        <w:rPr>
          <w:rFonts w:hint="eastAsia"/>
          <w:lang w:val="en-US" w:eastAsia="zh-CN"/>
        </w:rPr>
        <w:t>1</w:t>
      </w:r>
      <w:r>
        <w:rPr>
          <w:rFonts w:hint="eastAsia"/>
        </w:rPr>
        <w:t xml:space="preserve">日     </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AD37557A-4BD2-4CAE-9AE6-137BCE76E5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132B4109-BC10-4ECD-BF79-BBDD33F9C73E}"/>
  </w:font>
  <w:font w:name="方正小标宋简体">
    <w:panose1 w:val="02000000000000000000"/>
    <w:charset w:val="86"/>
    <w:family w:val="auto"/>
    <w:pitch w:val="default"/>
    <w:sig w:usb0="00000001" w:usb1="080E0000" w:usb2="00000000" w:usb3="00000000" w:csb0="00040000" w:csb1="00000000"/>
    <w:embedRegular r:id="rId3" w:fontKey="{9CBA988D-CF5A-4486-AE60-48323EDCF38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MTRjYzlhODZhMDk5YmQ3YjRkODU1MDc4MzhmZGEifQ=="/>
  </w:docVars>
  <w:rsids>
    <w:rsidRoot w:val="00000000"/>
    <w:rsid w:val="0CAD5BD8"/>
    <w:rsid w:val="46312C3A"/>
    <w:rsid w:val="488703DE"/>
    <w:rsid w:val="4E3667D3"/>
    <w:rsid w:val="63A32486"/>
    <w:rsid w:val="7F0843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heme="minorBidi"/>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2023-11-23T09:35:00Z</dcterms:created>
  <dc:creator>和平</dc:creator>
  <cp:lastModifiedBy>小一</cp:lastModifiedBy>
  <cp:lastPrinted>2023-12-01T01:40:00Z</cp:lastPrinted>
  <dcterms:modified xsi:type="dcterms:W3CDTF">2023-12-06T03:51:15Z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FA8B97578F4D4CEC8759086BA65A8970_13</vt:lpwstr>
  </property>
</Properties>
</file>