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80" w:lineRule="exact"/>
        <w:jc w:val="center"/>
        <w:rPr>
          <w:rFonts w:ascii="方正小标宋简体" w:eastAsia="方正小标宋简体"/>
          <w:sz w:val="44"/>
          <w:szCs w:val="44"/>
        </w:rPr>
      </w:pPr>
      <w:r>
        <w:rPr>
          <w:rFonts w:hint="eastAsia" w:ascii="方正小标宋简体" w:eastAsia="方正小标宋简体"/>
          <w:sz w:val="44"/>
          <w:szCs w:val="44"/>
        </w:rPr>
        <w:t>包头市居家和社区养老服务</w:t>
      </w:r>
    </w:p>
    <w:p>
      <w:pPr>
        <w:adjustRightInd w:val="0"/>
        <w:snapToGrid w:val="0"/>
        <w:spacing w:line="680" w:lineRule="exact"/>
        <w:jc w:val="center"/>
        <w:rPr>
          <w:rFonts w:ascii="楷体_GB2312" w:eastAsia="楷体_GB2312"/>
          <w:sz w:val="32"/>
          <w:szCs w:val="32"/>
        </w:rPr>
      </w:pPr>
      <w:r>
        <w:rPr>
          <w:rFonts w:hint="eastAsia" w:ascii="方正小标宋简体" w:eastAsia="方正小标宋简体"/>
          <w:sz w:val="44"/>
          <w:szCs w:val="44"/>
        </w:rPr>
        <w:t>改革试点工作实施方案</w:t>
      </w:r>
    </w:p>
    <w:p>
      <w:pPr>
        <w:adjustRightInd w:val="0"/>
        <w:snapToGrid w:val="0"/>
        <w:spacing w:line="560" w:lineRule="exact"/>
        <w:jc w:val="center"/>
        <w:rPr>
          <w:rFonts w:ascii="楷体_GB2312" w:eastAsia="楷体_GB2312"/>
          <w:sz w:val="32"/>
          <w:szCs w:val="32"/>
        </w:rPr>
      </w:pPr>
      <w:r>
        <w:rPr>
          <w:rFonts w:hint="eastAsia" w:ascii="楷体_GB2312" w:eastAsia="楷体_GB2312"/>
          <w:sz w:val="32"/>
          <w:szCs w:val="32"/>
        </w:rPr>
        <w:t>（</w:t>
      </w:r>
      <w:r>
        <w:rPr>
          <w:rFonts w:ascii="楷体_GB2312" w:eastAsia="楷体_GB2312"/>
          <w:sz w:val="32"/>
          <w:szCs w:val="32"/>
        </w:rPr>
        <w:t>2020</w:t>
      </w:r>
      <w:r>
        <w:rPr>
          <w:rFonts w:hint="eastAsia" w:ascii="楷体_GB2312" w:eastAsia="楷体_GB2312"/>
          <w:sz w:val="32"/>
          <w:szCs w:val="32"/>
        </w:rPr>
        <w:t>年</w:t>
      </w:r>
      <w:r>
        <w:rPr>
          <w:rFonts w:ascii="楷体_GB2312" w:eastAsia="楷体_GB2312"/>
          <w:sz w:val="32"/>
          <w:szCs w:val="32"/>
        </w:rPr>
        <w:t>——2022</w:t>
      </w:r>
      <w:r>
        <w:rPr>
          <w:rFonts w:hint="eastAsia" w:ascii="楷体_GB2312" w:eastAsia="楷体_GB2312"/>
          <w:sz w:val="32"/>
          <w:szCs w:val="32"/>
        </w:rPr>
        <w:t>年）</w:t>
      </w:r>
    </w:p>
    <w:p>
      <w:pPr>
        <w:adjustRightInd w:val="0"/>
        <w:snapToGrid w:val="0"/>
        <w:spacing w:line="560" w:lineRule="exact"/>
        <w:jc w:val="center"/>
        <w:rPr>
          <w:rFonts w:hint="eastAsia" w:ascii="楷体_GB2312" w:hAnsi="楷体_GB2312" w:eastAsia="楷体_GB2312" w:cs="楷体_GB2312"/>
          <w:snapToGrid w:val="0"/>
          <w:kern w:val="0"/>
          <w:sz w:val="32"/>
          <w:szCs w:val="32"/>
          <w:shd w:val="clear" w:color="auto" w:fill="FFFFFF"/>
          <w:lang w:eastAsia="zh-CN"/>
        </w:rPr>
      </w:pPr>
      <w:r>
        <w:rPr>
          <w:rFonts w:hint="eastAsia" w:ascii="楷体_GB2312" w:hAnsi="楷体_GB2312" w:eastAsia="楷体_GB2312" w:cs="楷体_GB2312"/>
          <w:snapToGrid w:val="0"/>
          <w:kern w:val="0"/>
          <w:sz w:val="32"/>
          <w:szCs w:val="32"/>
          <w:shd w:val="clear" w:color="auto" w:fill="FFFFFF"/>
          <w:lang w:eastAsia="zh-CN"/>
        </w:rPr>
        <w:t>（</w:t>
      </w:r>
      <w:r>
        <w:rPr>
          <w:rFonts w:hint="eastAsia" w:ascii="楷体_GB2312" w:hAnsi="楷体_GB2312" w:eastAsia="楷体_GB2312" w:cs="楷体_GB2312"/>
          <w:snapToGrid w:val="0"/>
          <w:kern w:val="0"/>
          <w:sz w:val="32"/>
          <w:szCs w:val="32"/>
          <w:shd w:val="clear" w:color="auto" w:fill="FFFFFF"/>
          <w:lang w:val="en-US" w:eastAsia="zh-CN"/>
        </w:rPr>
        <w:t>征求意见稿</w:t>
      </w:r>
      <w:r>
        <w:rPr>
          <w:rFonts w:hint="eastAsia" w:ascii="楷体_GB2312" w:hAnsi="楷体_GB2312" w:eastAsia="楷体_GB2312" w:cs="楷体_GB2312"/>
          <w:snapToGrid w:val="0"/>
          <w:kern w:val="0"/>
          <w:sz w:val="32"/>
          <w:szCs w:val="32"/>
          <w:shd w:val="clear" w:color="auto" w:fill="FFFFFF"/>
          <w:lang w:eastAsia="zh-CN"/>
        </w:rPr>
        <w:t>）</w:t>
      </w:r>
    </w:p>
    <w:p>
      <w:pPr>
        <w:adjustRightInd w:val="0"/>
        <w:snapToGrid w:val="0"/>
        <w:spacing w:line="640" w:lineRule="exact"/>
        <w:rPr>
          <w:rFonts w:ascii="仿宋_GB2312" w:hAnsi="仿宋" w:eastAsia="仿宋_GB2312" w:cs="Arial"/>
          <w:snapToGrid w:val="0"/>
          <w:kern w:val="0"/>
          <w:sz w:val="32"/>
          <w:szCs w:val="32"/>
          <w:shd w:val="clear" w:color="auto" w:fill="FFFFFF"/>
        </w:rPr>
      </w:pPr>
      <w:r>
        <w:rPr>
          <w:rFonts w:ascii="仿宋_GB2312" w:hAnsi="仿宋" w:eastAsia="仿宋_GB2312" w:cs="Arial"/>
          <w:snapToGrid w:val="0"/>
          <w:kern w:val="0"/>
          <w:sz w:val="32"/>
          <w:szCs w:val="32"/>
          <w:shd w:val="clear" w:color="auto" w:fill="FFFFFF"/>
        </w:rPr>
        <w:t xml:space="preserve">   </w:t>
      </w:r>
    </w:p>
    <w:p>
      <w:pPr>
        <w:adjustRightInd w:val="0"/>
        <w:snapToGrid w:val="0"/>
        <w:spacing w:line="640" w:lineRule="exact"/>
        <w:ind w:firstLine="640" w:firstLineChars="200"/>
        <w:rPr>
          <w:rFonts w:ascii="仿宋_GB2312" w:hAnsi="仿宋" w:eastAsia="仿宋_GB2312" w:cs="Arial"/>
          <w:snapToGrid w:val="0"/>
          <w:kern w:val="0"/>
          <w:sz w:val="32"/>
          <w:szCs w:val="32"/>
          <w:shd w:val="clear" w:color="auto" w:fill="FFFFFF"/>
        </w:rPr>
      </w:pPr>
      <w:bookmarkStart w:id="0" w:name="_GoBack"/>
      <w:bookmarkEnd w:id="0"/>
      <w:r>
        <w:rPr>
          <w:rFonts w:hint="eastAsia" w:ascii="仿宋_GB2312" w:hAnsi="仿宋" w:eastAsia="仿宋_GB2312" w:cs="Arial"/>
          <w:snapToGrid w:val="0"/>
          <w:kern w:val="0"/>
          <w:sz w:val="32"/>
          <w:szCs w:val="32"/>
          <w:shd w:val="clear" w:color="auto" w:fill="FFFFFF"/>
        </w:rPr>
        <w:t>根据《民政部财政部关于中央财政支持开展居家和社区养老服务改革试点工作的通知》（民函〔</w:t>
      </w:r>
      <w:r>
        <w:rPr>
          <w:rFonts w:ascii="仿宋_GB2312" w:hAnsi="仿宋" w:eastAsia="仿宋_GB2312" w:cs="Arial"/>
          <w:snapToGrid w:val="0"/>
          <w:kern w:val="0"/>
          <w:sz w:val="32"/>
          <w:szCs w:val="32"/>
          <w:shd w:val="clear" w:color="auto" w:fill="FFFFFF"/>
        </w:rPr>
        <w:t>2016</w:t>
      </w:r>
      <w:r>
        <w:rPr>
          <w:rFonts w:hint="eastAsia" w:ascii="仿宋_GB2312" w:hAnsi="仿宋" w:eastAsia="仿宋_GB2312" w:cs="Arial"/>
          <w:snapToGrid w:val="0"/>
          <w:kern w:val="0"/>
          <w:sz w:val="32"/>
          <w:szCs w:val="32"/>
          <w:shd w:val="clear" w:color="auto" w:fill="FFFFFF"/>
        </w:rPr>
        <w:t>〕</w:t>
      </w:r>
      <w:r>
        <w:rPr>
          <w:rFonts w:ascii="仿宋_GB2312" w:hAnsi="仿宋" w:eastAsia="仿宋_GB2312" w:cs="Arial"/>
          <w:snapToGrid w:val="0"/>
          <w:kern w:val="0"/>
          <w:sz w:val="32"/>
          <w:szCs w:val="32"/>
          <w:shd w:val="clear" w:color="auto" w:fill="FFFFFF"/>
        </w:rPr>
        <w:t>200</w:t>
      </w:r>
      <w:r>
        <w:rPr>
          <w:rFonts w:hint="eastAsia" w:ascii="仿宋_GB2312" w:hAnsi="仿宋" w:eastAsia="仿宋_GB2312" w:cs="Arial"/>
          <w:snapToGrid w:val="0"/>
          <w:kern w:val="0"/>
          <w:sz w:val="32"/>
          <w:szCs w:val="32"/>
          <w:shd w:val="clear" w:color="auto" w:fill="FFFFFF"/>
        </w:rPr>
        <w:t>号）、《民政部办公厅</w:t>
      </w:r>
      <w:r>
        <w:rPr>
          <w:rFonts w:ascii="仿宋_GB2312" w:hAnsi="仿宋" w:eastAsia="仿宋_GB2312" w:cs="Arial"/>
          <w:snapToGrid w:val="0"/>
          <w:kern w:val="0"/>
          <w:sz w:val="32"/>
          <w:szCs w:val="32"/>
          <w:shd w:val="clear" w:color="auto" w:fill="FFFFFF"/>
        </w:rPr>
        <w:t xml:space="preserve"> </w:t>
      </w:r>
      <w:r>
        <w:rPr>
          <w:rFonts w:hint="eastAsia" w:ascii="仿宋_GB2312" w:hAnsi="仿宋" w:eastAsia="仿宋_GB2312" w:cs="Arial"/>
          <w:snapToGrid w:val="0"/>
          <w:kern w:val="0"/>
          <w:sz w:val="32"/>
          <w:szCs w:val="32"/>
          <w:shd w:val="clear" w:color="auto" w:fill="FFFFFF"/>
        </w:rPr>
        <w:t>财政部办公厅关于开展第五批居家和社区养老服务改革试点申报工作的通知》（民办函〔</w:t>
      </w:r>
      <w:r>
        <w:rPr>
          <w:rFonts w:ascii="仿宋_GB2312" w:hAnsi="仿宋" w:eastAsia="仿宋_GB2312" w:cs="Arial"/>
          <w:snapToGrid w:val="0"/>
          <w:kern w:val="0"/>
          <w:sz w:val="32"/>
          <w:szCs w:val="32"/>
          <w:shd w:val="clear" w:color="auto" w:fill="FFFFFF"/>
        </w:rPr>
        <w:t>2019</w:t>
      </w:r>
      <w:r>
        <w:rPr>
          <w:rFonts w:hint="eastAsia" w:ascii="仿宋_GB2312" w:hAnsi="仿宋" w:eastAsia="仿宋_GB2312" w:cs="Arial"/>
          <w:snapToGrid w:val="0"/>
          <w:kern w:val="0"/>
          <w:sz w:val="32"/>
          <w:szCs w:val="32"/>
          <w:shd w:val="clear" w:color="auto" w:fill="FFFFFF"/>
        </w:rPr>
        <w:t>〕</w:t>
      </w:r>
      <w:r>
        <w:rPr>
          <w:rFonts w:ascii="仿宋_GB2312" w:hAnsi="仿宋" w:eastAsia="仿宋_GB2312" w:cs="Arial"/>
          <w:snapToGrid w:val="0"/>
          <w:kern w:val="0"/>
          <w:sz w:val="32"/>
          <w:szCs w:val="32"/>
          <w:shd w:val="clear" w:color="auto" w:fill="FFFFFF"/>
        </w:rPr>
        <w:t>126</w:t>
      </w:r>
      <w:r>
        <w:rPr>
          <w:rFonts w:hint="eastAsia" w:ascii="仿宋_GB2312" w:hAnsi="仿宋" w:eastAsia="仿宋_GB2312" w:cs="Arial"/>
          <w:snapToGrid w:val="0"/>
          <w:kern w:val="0"/>
          <w:sz w:val="32"/>
          <w:szCs w:val="32"/>
          <w:shd w:val="clear" w:color="auto" w:fill="FFFFFF"/>
        </w:rPr>
        <w:t>号）精神，结合包头市实际，按照“政府主导、政策扶持、社会参与、市场推动”的总体思路，制定本方案。</w:t>
      </w:r>
    </w:p>
    <w:p>
      <w:pPr>
        <w:pStyle w:val="5"/>
        <w:shd w:val="clear" w:color="auto" w:fill="FFFFFF"/>
        <w:adjustRightInd w:val="0"/>
        <w:snapToGrid w:val="0"/>
        <w:spacing w:before="0" w:beforeAutospacing="0" w:after="0" w:afterAutospacing="0" w:line="640" w:lineRule="exact"/>
        <w:jc w:val="both"/>
        <w:rPr>
          <w:rFonts w:ascii="黑体" w:hAnsi="黑体" w:eastAsia="黑体" w:cs="Arial"/>
          <w:snapToGrid w:val="0"/>
          <w:sz w:val="32"/>
          <w:szCs w:val="32"/>
          <w:shd w:val="clear" w:color="auto" w:fill="FFFFFF"/>
        </w:rPr>
      </w:pPr>
      <w:r>
        <w:rPr>
          <w:rFonts w:hint="eastAsia" w:ascii="微软雅黑" w:hAnsi="微软雅黑" w:eastAsia="微软雅黑"/>
          <w:color w:val="222222"/>
          <w:sz w:val="32"/>
          <w:szCs w:val="32"/>
        </w:rPr>
        <w:t>　</w:t>
      </w:r>
      <w:r>
        <w:rPr>
          <w:rFonts w:hint="eastAsia" w:ascii="仿宋_GB2312" w:hAnsi="仿宋" w:eastAsia="仿宋_GB2312" w:cs="Arial"/>
          <w:snapToGrid w:val="0"/>
          <w:sz w:val="32"/>
          <w:szCs w:val="32"/>
          <w:shd w:val="clear" w:color="auto" w:fill="FFFFFF"/>
        </w:rPr>
        <w:t>　</w:t>
      </w:r>
      <w:r>
        <w:rPr>
          <w:rFonts w:ascii="仿宋_GB2312" w:hAnsi="仿宋" w:eastAsia="仿宋_GB2312" w:cs="Arial"/>
          <w:snapToGrid w:val="0"/>
          <w:sz w:val="32"/>
          <w:szCs w:val="32"/>
          <w:shd w:val="clear" w:color="auto" w:fill="FFFFFF"/>
        </w:rPr>
        <w:t xml:space="preserve"> </w:t>
      </w:r>
      <w:r>
        <w:rPr>
          <w:rFonts w:hint="eastAsia" w:ascii="黑体" w:hAnsi="黑体" w:eastAsia="黑体" w:cs="Arial"/>
          <w:snapToGrid w:val="0"/>
          <w:sz w:val="32"/>
          <w:szCs w:val="32"/>
          <w:shd w:val="clear" w:color="auto" w:fill="FFFFFF"/>
        </w:rPr>
        <w:t>一、指导思想</w:t>
      </w:r>
    </w:p>
    <w:p>
      <w:pPr>
        <w:pStyle w:val="5"/>
        <w:shd w:val="clear" w:color="auto" w:fill="FFFFFF"/>
        <w:adjustRightInd w:val="0"/>
        <w:snapToGrid w:val="0"/>
        <w:spacing w:before="0" w:beforeAutospacing="0" w:after="0" w:afterAutospacing="0" w:line="640" w:lineRule="exact"/>
        <w:jc w:val="both"/>
        <w:rPr>
          <w:rFonts w:ascii="仿宋_GB2312" w:hAnsi="仿宋" w:eastAsia="仿宋_GB2312" w:cs="Arial"/>
          <w:snapToGrid w:val="0"/>
          <w:sz w:val="32"/>
          <w:szCs w:val="32"/>
          <w:shd w:val="clear" w:color="auto" w:fill="FFFFFF"/>
        </w:rPr>
      </w:pPr>
      <w:r>
        <w:rPr>
          <w:rFonts w:ascii="仿宋_GB2312" w:hAnsi="仿宋" w:eastAsia="仿宋_GB2312" w:cs="Arial"/>
          <w:snapToGrid w:val="0"/>
          <w:sz w:val="32"/>
          <w:szCs w:val="32"/>
          <w:shd w:val="clear" w:color="auto" w:fill="FFFFFF"/>
        </w:rPr>
        <w:t xml:space="preserve">    </w:t>
      </w:r>
      <w:r>
        <w:rPr>
          <w:rFonts w:hint="eastAsia" w:ascii="仿宋_GB2312" w:hAnsi="仿宋" w:eastAsia="仿宋_GB2312" w:cs="Arial"/>
          <w:snapToGrid w:val="0"/>
          <w:sz w:val="32"/>
          <w:szCs w:val="32"/>
          <w:shd w:val="clear" w:color="auto" w:fill="FFFFFF"/>
        </w:rPr>
        <w:t>以习近平总书记关于加强老龄工作的重要指示精神为指导，推动居家和社区养老服务发展，通过政府扶持、社会力量运营、市场化运作，优化发展环境，丰富供给主体，形成以社会力量为主体的居家和社区养老服务多元供给格局，促进我市居家社区养老服务业的发展，全面提升居家和社区养老综合服务能力，满足老年人多元化的养老服务需求。</w:t>
      </w:r>
    </w:p>
    <w:p>
      <w:pPr>
        <w:pStyle w:val="5"/>
        <w:shd w:val="clear" w:color="auto" w:fill="FFFFFF"/>
        <w:adjustRightInd w:val="0"/>
        <w:snapToGrid w:val="0"/>
        <w:spacing w:before="0" w:beforeAutospacing="0" w:after="0" w:afterAutospacing="0" w:line="640" w:lineRule="exact"/>
        <w:jc w:val="both"/>
        <w:rPr>
          <w:rFonts w:ascii="黑体" w:hAnsi="黑体" w:eastAsia="黑体" w:cs="Arial"/>
          <w:snapToGrid w:val="0"/>
          <w:sz w:val="32"/>
          <w:szCs w:val="32"/>
          <w:shd w:val="clear" w:color="auto" w:fill="FFFFFF"/>
        </w:rPr>
      </w:pPr>
      <w:r>
        <w:rPr>
          <w:rFonts w:hint="eastAsia" w:ascii="微软雅黑" w:hAnsi="微软雅黑" w:eastAsia="微软雅黑"/>
          <w:color w:val="222222"/>
          <w:sz w:val="32"/>
          <w:szCs w:val="32"/>
        </w:rPr>
        <w:t>　</w:t>
      </w:r>
      <w:r>
        <w:rPr>
          <w:rFonts w:hint="eastAsia" w:ascii="仿宋_GB2312" w:hAnsi="仿宋" w:eastAsia="仿宋_GB2312" w:cs="Arial"/>
          <w:snapToGrid w:val="0"/>
          <w:sz w:val="32"/>
          <w:szCs w:val="32"/>
          <w:shd w:val="clear" w:color="auto" w:fill="FFFFFF"/>
        </w:rPr>
        <w:t>　</w:t>
      </w:r>
      <w:r>
        <w:rPr>
          <w:rFonts w:ascii="仿宋_GB2312" w:hAnsi="仿宋" w:eastAsia="仿宋_GB2312" w:cs="Arial"/>
          <w:snapToGrid w:val="0"/>
          <w:sz w:val="32"/>
          <w:szCs w:val="32"/>
          <w:shd w:val="clear" w:color="auto" w:fill="FFFFFF"/>
        </w:rPr>
        <w:t xml:space="preserve"> </w:t>
      </w:r>
      <w:r>
        <w:rPr>
          <w:rFonts w:hint="eastAsia" w:ascii="黑体" w:hAnsi="黑体" w:eastAsia="黑体" w:cs="Arial"/>
          <w:snapToGrid w:val="0"/>
          <w:sz w:val="32"/>
          <w:szCs w:val="32"/>
          <w:shd w:val="clear" w:color="auto" w:fill="FFFFFF"/>
        </w:rPr>
        <w:t>二、基本原则</w:t>
      </w:r>
    </w:p>
    <w:p>
      <w:pPr>
        <w:pStyle w:val="5"/>
        <w:shd w:val="clear" w:color="auto" w:fill="FFFFFF"/>
        <w:adjustRightInd w:val="0"/>
        <w:snapToGrid w:val="0"/>
        <w:spacing w:before="0" w:beforeAutospacing="0" w:after="0" w:afterAutospacing="0" w:line="640" w:lineRule="exact"/>
        <w:jc w:val="both"/>
        <w:rPr>
          <w:rFonts w:ascii="仿宋_GB2312" w:hAnsi="仿宋" w:eastAsia="仿宋_GB2312" w:cs="Arial"/>
          <w:snapToGrid w:val="0"/>
          <w:sz w:val="32"/>
          <w:szCs w:val="32"/>
          <w:shd w:val="clear" w:color="auto" w:fill="FFFFFF"/>
        </w:rPr>
      </w:pPr>
      <w:r>
        <w:rPr>
          <w:rFonts w:hint="eastAsia" w:ascii="仿宋_GB2312" w:hAnsi="仿宋" w:eastAsia="仿宋_GB2312" w:cs="Arial"/>
          <w:snapToGrid w:val="0"/>
          <w:sz w:val="32"/>
          <w:szCs w:val="32"/>
          <w:shd w:val="clear" w:color="auto" w:fill="FFFFFF"/>
        </w:rPr>
        <w:t>　　</w:t>
      </w:r>
      <w:r>
        <w:rPr>
          <w:rFonts w:hint="eastAsia" w:ascii="楷体_GB2312" w:hAnsi="仿宋" w:eastAsia="楷体_GB2312" w:cs="Arial"/>
          <w:snapToGrid w:val="0"/>
          <w:sz w:val="32"/>
          <w:szCs w:val="32"/>
          <w:shd w:val="clear" w:color="auto" w:fill="FFFFFF"/>
        </w:rPr>
        <w:t>（一）坚持政府主导与社会参与相结合。</w:t>
      </w:r>
      <w:r>
        <w:rPr>
          <w:rFonts w:hint="eastAsia" w:ascii="仿宋_GB2312" w:hAnsi="仿宋" w:eastAsia="仿宋_GB2312" w:cs="Arial"/>
          <w:snapToGrid w:val="0"/>
          <w:sz w:val="32"/>
          <w:szCs w:val="32"/>
          <w:shd w:val="clear" w:color="auto" w:fill="FFFFFF"/>
        </w:rPr>
        <w:t>认真履行规划指导、政策扶持、监督管理等职责，鼓励和支持社会力量参与养老服务，</w:t>
      </w:r>
      <w:r>
        <w:rPr>
          <w:rFonts w:hint="eastAsia" w:ascii="仿宋_GB2312" w:hAnsi="黑体" w:eastAsia="仿宋_GB2312" w:cs="Arial"/>
          <w:snapToGrid w:val="0"/>
          <w:sz w:val="32"/>
          <w:szCs w:val="32"/>
          <w:shd w:val="clear" w:color="auto" w:fill="FFFFFF"/>
        </w:rPr>
        <w:t>倡导大中型企业承担养老服务社会责任。</w:t>
      </w:r>
      <w:r>
        <w:rPr>
          <w:rFonts w:hint="eastAsia" w:ascii="仿宋_GB2312" w:hAnsi="仿宋" w:eastAsia="仿宋_GB2312" w:cs="Arial"/>
          <w:snapToGrid w:val="0"/>
          <w:sz w:val="32"/>
          <w:szCs w:val="32"/>
          <w:shd w:val="clear" w:color="auto" w:fill="FFFFFF"/>
        </w:rPr>
        <w:t>逐步建立与市场经济相适应的发展模式和运行机制。</w:t>
      </w:r>
    </w:p>
    <w:p>
      <w:pPr>
        <w:pStyle w:val="5"/>
        <w:shd w:val="clear" w:color="auto" w:fill="FFFFFF"/>
        <w:adjustRightInd w:val="0"/>
        <w:snapToGrid w:val="0"/>
        <w:spacing w:before="0" w:beforeAutospacing="0" w:after="0" w:afterAutospacing="0" w:line="640" w:lineRule="exact"/>
        <w:jc w:val="both"/>
        <w:rPr>
          <w:rFonts w:ascii="仿宋_GB2312" w:hAnsi="仿宋" w:eastAsia="仿宋_GB2312" w:cs="Arial"/>
          <w:snapToGrid w:val="0"/>
          <w:sz w:val="32"/>
          <w:szCs w:val="32"/>
          <w:shd w:val="clear" w:color="auto" w:fill="FFFFFF"/>
        </w:rPr>
      </w:pPr>
      <w:r>
        <w:rPr>
          <w:rFonts w:hint="eastAsia" w:ascii="仿宋_GB2312" w:hAnsi="仿宋" w:eastAsia="仿宋_GB2312" w:cs="Arial"/>
          <w:snapToGrid w:val="0"/>
          <w:sz w:val="32"/>
          <w:szCs w:val="32"/>
          <w:shd w:val="clear" w:color="auto" w:fill="FFFFFF"/>
        </w:rPr>
        <w:t>　　</w:t>
      </w:r>
      <w:r>
        <w:rPr>
          <w:rFonts w:hint="eastAsia" w:ascii="楷体_GB2312" w:hAnsi="仿宋" w:eastAsia="楷体_GB2312" w:cs="Arial"/>
          <w:snapToGrid w:val="0"/>
          <w:sz w:val="32"/>
          <w:szCs w:val="32"/>
          <w:shd w:val="clear" w:color="auto" w:fill="FFFFFF"/>
        </w:rPr>
        <w:t>（二）坚持因地制宜与统筹发展相结合。</w:t>
      </w:r>
      <w:r>
        <w:rPr>
          <w:rFonts w:hint="eastAsia" w:ascii="仿宋_GB2312" w:hAnsi="仿宋" w:eastAsia="仿宋_GB2312" w:cs="Arial"/>
          <w:snapToGrid w:val="0"/>
          <w:sz w:val="32"/>
          <w:szCs w:val="32"/>
          <w:shd w:val="clear" w:color="auto" w:fill="FFFFFF"/>
        </w:rPr>
        <w:t>立足实际，科学制定养老服务体系发展规划，整合各类资源，优化空间布局，统筹城乡养老事业全面科学发展。</w:t>
      </w:r>
    </w:p>
    <w:p>
      <w:pPr>
        <w:pStyle w:val="5"/>
        <w:shd w:val="clear" w:color="auto" w:fill="FFFFFF"/>
        <w:adjustRightInd w:val="0"/>
        <w:snapToGrid w:val="0"/>
        <w:spacing w:before="0" w:beforeAutospacing="0" w:after="0" w:afterAutospacing="0" w:line="640" w:lineRule="exact"/>
        <w:ind w:firstLine="660"/>
        <w:jc w:val="both"/>
        <w:rPr>
          <w:rFonts w:ascii="仿宋_GB2312" w:hAnsi="仿宋" w:eastAsia="仿宋_GB2312" w:cs="Arial"/>
          <w:snapToGrid w:val="0"/>
          <w:sz w:val="32"/>
          <w:szCs w:val="32"/>
          <w:shd w:val="clear" w:color="auto" w:fill="FFFFFF"/>
        </w:rPr>
      </w:pPr>
      <w:r>
        <w:rPr>
          <w:rFonts w:hint="eastAsia" w:ascii="楷体_GB2312" w:hAnsi="仿宋" w:eastAsia="楷体_GB2312" w:cs="Arial"/>
          <w:snapToGrid w:val="0"/>
          <w:sz w:val="32"/>
          <w:szCs w:val="32"/>
          <w:shd w:val="clear" w:color="auto" w:fill="FFFFFF"/>
        </w:rPr>
        <w:t>（三）坚持居家养老与社区养老相结合。</w:t>
      </w:r>
      <w:r>
        <w:rPr>
          <w:rFonts w:hint="eastAsia" w:ascii="仿宋_GB2312" w:hAnsi="仿宋" w:eastAsia="仿宋_GB2312" w:cs="Arial"/>
          <w:snapToGrid w:val="0"/>
          <w:sz w:val="32"/>
          <w:szCs w:val="32"/>
          <w:shd w:val="clear" w:color="auto" w:fill="FFFFFF"/>
        </w:rPr>
        <w:t>充分发挥</w:t>
      </w:r>
      <w:r>
        <w:rPr>
          <w:rFonts w:ascii="仿宋_GB2312" w:hAnsi="仿宋" w:eastAsia="仿宋_GB2312" w:cs="Arial"/>
          <w:snapToGrid w:val="0"/>
          <w:sz w:val="32"/>
          <w:szCs w:val="32"/>
          <w:shd w:val="clear" w:color="auto" w:fill="FFFFFF"/>
        </w:rPr>
        <w:t>12349</w:t>
      </w:r>
      <w:r>
        <w:rPr>
          <w:rFonts w:hint="eastAsia" w:ascii="仿宋_GB2312" w:hAnsi="仿宋" w:eastAsia="仿宋_GB2312" w:cs="Arial"/>
          <w:snapToGrid w:val="0"/>
          <w:sz w:val="32"/>
          <w:szCs w:val="32"/>
          <w:shd w:val="clear" w:color="auto" w:fill="FFFFFF"/>
        </w:rPr>
        <w:t>便民为老服务中心和社区养老服务设施功能。多措并举，大力发展居家社区养老服务，探索并实行具有包头市特色的城市养老服务模式。</w:t>
      </w:r>
    </w:p>
    <w:p>
      <w:pPr>
        <w:pStyle w:val="5"/>
        <w:shd w:val="clear" w:color="auto" w:fill="FFFFFF"/>
        <w:adjustRightInd w:val="0"/>
        <w:snapToGrid w:val="0"/>
        <w:spacing w:before="0" w:beforeAutospacing="0" w:after="0" w:afterAutospacing="0" w:line="640" w:lineRule="exact"/>
        <w:ind w:firstLine="660"/>
        <w:jc w:val="both"/>
        <w:rPr>
          <w:rFonts w:ascii="黑体" w:hAnsi="黑体" w:eastAsia="黑体" w:cs="Arial"/>
          <w:snapToGrid w:val="0"/>
          <w:sz w:val="32"/>
          <w:szCs w:val="32"/>
          <w:shd w:val="clear" w:color="auto" w:fill="FFFFFF"/>
        </w:rPr>
      </w:pPr>
      <w:r>
        <w:rPr>
          <w:rFonts w:hint="eastAsia" w:ascii="黑体" w:hAnsi="黑体" w:eastAsia="黑体" w:cs="Arial"/>
          <w:snapToGrid w:val="0"/>
          <w:sz w:val="32"/>
          <w:szCs w:val="32"/>
          <w:shd w:val="clear" w:color="auto" w:fill="FFFFFF"/>
        </w:rPr>
        <w:t>三、总体目标</w:t>
      </w:r>
    </w:p>
    <w:p>
      <w:pPr>
        <w:pStyle w:val="5"/>
        <w:shd w:val="clear" w:color="auto" w:fill="FFFFFF"/>
        <w:adjustRightInd w:val="0"/>
        <w:snapToGrid w:val="0"/>
        <w:spacing w:before="0" w:beforeAutospacing="0" w:after="0" w:afterAutospacing="0" w:line="640" w:lineRule="exact"/>
        <w:ind w:firstLine="640" w:firstLineChars="200"/>
        <w:jc w:val="both"/>
        <w:rPr>
          <w:rFonts w:ascii="仿宋_GB2312" w:eastAsia="仿宋_GB2312"/>
          <w:bCs/>
          <w:iCs/>
          <w:sz w:val="32"/>
          <w:szCs w:val="32"/>
        </w:rPr>
      </w:pPr>
      <w:r>
        <w:rPr>
          <w:rFonts w:hint="eastAsia" w:ascii="仿宋_GB2312" w:eastAsia="仿宋_GB2312"/>
          <w:sz w:val="32"/>
          <w:szCs w:val="32"/>
        </w:rPr>
        <w:t>通过改革试点工作，进一步完善政策体系、优化发展环境，丰富供给主体，完善居家和社区养老服务体系。</w:t>
      </w:r>
      <w:r>
        <w:rPr>
          <w:rFonts w:hint="eastAsia" w:ascii="仿宋_GB2312" w:eastAsia="仿宋_GB2312"/>
          <w:bCs/>
          <w:iCs/>
          <w:sz w:val="32"/>
          <w:szCs w:val="32"/>
        </w:rPr>
        <w:t>用三年左右的时间，通过先试点后推广的方式，在全市</w:t>
      </w:r>
      <w:r>
        <w:rPr>
          <w:rFonts w:hint="eastAsia" w:ascii="仿宋_GB2312" w:hAnsi="黑体" w:eastAsia="仿宋_GB2312"/>
          <w:bCs/>
          <w:iCs/>
          <w:sz w:val="32"/>
          <w:szCs w:val="32"/>
        </w:rPr>
        <w:t>有条件的社区</w:t>
      </w:r>
      <w:r>
        <w:rPr>
          <w:rFonts w:hint="eastAsia" w:ascii="仿宋_GB2312" w:eastAsia="仿宋_GB2312"/>
          <w:bCs/>
          <w:iCs/>
          <w:sz w:val="32"/>
          <w:szCs w:val="32"/>
        </w:rPr>
        <w:t>建成一处功能完善、服务内容全面、既能满足社区养老服务又能提供居家养老服务的综合养老服务中心。2020年底前20%的社区（嘎查村）完成建设任务，2021年底前50%的社区（嘎查村）完成建设任务，到</w:t>
      </w:r>
      <w:r>
        <w:rPr>
          <w:rFonts w:ascii="仿宋_GB2312" w:eastAsia="仿宋_GB2312"/>
          <w:bCs/>
          <w:iCs/>
          <w:sz w:val="32"/>
          <w:szCs w:val="32"/>
        </w:rPr>
        <w:t>2022</w:t>
      </w:r>
      <w:r>
        <w:rPr>
          <w:rFonts w:hint="eastAsia" w:ascii="仿宋_GB2312" w:eastAsia="仿宋_GB2312"/>
          <w:bCs/>
          <w:iCs/>
          <w:sz w:val="32"/>
          <w:szCs w:val="32"/>
        </w:rPr>
        <w:t>年底，全市277个社区和526个嘎查村形成社会力量广泛参与、市场运作优质高效、服务内容不断完善、与机构养老融合发展，群众普遍认可的居家和社区养老服务格局。</w:t>
      </w:r>
    </w:p>
    <w:p>
      <w:pPr>
        <w:pStyle w:val="5"/>
        <w:shd w:val="clear" w:color="auto" w:fill="FFFFFF"/>
        <w:adjustRightInd w:val="0"/>
        <w:snapToGrid w:val="0"/>
        <w:spacing w:before="0" w:beforeAutospacing="0" w:after="0" w:afterAutospacing="0" w:line="640" w:lineRule="exact"/>
        <w:ind w:firstLine="640" w:firstLineChars="200"/>
        <w:jc w:val="both"/>
        <w:rPr>
          <w:rFonts w:ascii="黑体" w:hAnsi="黑体" w:eastAsia="黑体"/>
          <w:sz w:val="32"/>
          <w:szCs w:val="32"/>
        </w:rPr>
      </w:pPr>
      <w:r>
        <w:rPr>
          <w:rFonts w:hint="eastAsia" w:ascii="黑体" w:hAnsi="黑体" w:eastAsia="黑体"/>
          <w:sz w:val="32"/>
          <w:szCs w:val="32"/>
        </w:rPr>
        <w:t>四、主要</w:t>
      </w:r>
      <w:r>
        <w:rPr>
          <w:rFonts w:hint="eastAsia" w:ascii="黑体" w:hAnsi="黑体" w:eastAsia="黑体"/>
          <w:b/>
          <w:bCs/>
          <w:iCs/>
          <w:sz w:val="32"/>
          <w:szCs w:val="32"/>
        </w:rPr>
        <w:t>任务</w:t>
      </w:r>
    </w:p>
    <w:p>
      <w:pPr>
        <w:adjustRightInd w:val="0"/>
        <w:snapToGrid w:val="0"/>
        <w:spacing w:line="640" w:lineRule="exact"/>
        <w:ind w:firstLine="640" w:firstLineChars="200"/>
        <w:rPr>
          <w:rFonts w:ascii="仿宋_GB2312" w:eastAsia="仿宋_GB2312" w:cs="楷体"/>
          <w:iCs/>
          <w:kern w:val="0"/>
          <w:sz w:val="32"/>
          <w:szCs w:val="32"/>
        </w:rPr>
      </w:pPr>
      <w:r>
        <w:rPr>
          <w:rFonts w:hint="eastAsia" w:ascii="楷体_GB2312" w:eastAsia="楷体_GB2312" w:cs="????_GBK"/>
          <w:sz w:val="32"/>
          <w:szCs w:val="32"/>
        </w:rPr>
        <w:t>（一）培育居家养老服务。</w:t>
      </w:r>
      <w:r>
        <w:rPr>
          <w:rFonts w:hint="eastAsia" w:ascii="仿宋_GB2312" w:eastAsia="仿宋_GB2312" w:cs="????_GBK"/>
          <w:iCs/>
          <w:sz w:val="32"/>
          <w:szCs w:val="32"/>
        </w:rPr>
        <w:t>升级改造</w:t>
      </w:r>
      <w:r>
        <w:rPr>
          <w:rFonts w:ascii="仿宋_GB2312" w:eastAsia="仿宋_GB2312" w:cs="????_GBK"/>
          <w:sz w:val="32"/>
          <w:szCs w:val="32"/>
        </w:rPr>
        <w:t>12349</w:t>
      </w:r>
      <w:r>
        <w:rPr>
          <w:rFonts w:hint="eastAsia" w:ascii="仿宋_GB2312" w:eastAsia="仿宋_GB2312" w:cs="????_GBK"/>
          <w:sz w:val="32"/>
          <w:szCs w:val="32"/>
        </w:rPr>
        <w:t>便民为老服务平台，改善工作环境，增加设施设备，拓展养老服务标准化建设范围，</w:t>
      </w:r>
      <w:r>
        <w:rPr>
          <w:rFonts w:hint="eastAsia" w:ascii="仿宋_GB2312" w:eastAsia="仿宋_GB2312" w:cs="????_GBK"/>
          <w:iCs/>
          <w:sz w:val="32"/>
          <w:szCs w:val="32"/>
        </w:rPr>
        <w:t>依托社区养老服务场所设立居家养老服务网点，建立居家养老服务网络系统，打造</w:t>
      </w:r>
      <w:r>
        <w:rPr>
          <w:rFonts w:ascii="仿宋_GB2312" w:eastAsia="仿宋_GB2312" w:cs="????_GBK"/>
          <w:iCs/>
          <w:sz w:val="32"/>
          <w:szCs w:val="32"/>
        </w:rPr>
        <w:t>5</w:t>
      </w:r>
      <w:r>
        <w:rPr>
          <w:rFonts w:hint="eastAsia" w:ascii="仿宋_GB2312" w:eastAsia="仿宋_GB2312" w:cs="????_GBK"/>
          <w:iCs/>
          <w:sz w:val="32"/>
          <w:szCs w:val="32"/>
        </w:rPr>
        <w:t>--15分钟服务圈，</w:t>
      </w:r>
      <w:r>
        <w:rPr>
          <w:rFonts w:hint="eastAsia" w:ascii="仿宋_GB2312" w:eastAsia="仿宋_GB2312" w:cs="????_GBK"/>
          <w:sz w:val="32"/>
          <w:szCs w:val="32"/>
        </w:rPr>
        <w:t>鼓励支持养老机构、社区养老服务机构将专业服务延伸到家庭，为居家老年人提供专业的养老服务。采取政府购买服务的形式，为困难老年人提供</w:t>
      </w:r>
      <w:r>
        <w:rPr>
          <w:rFonts w:hint="eastAsia" w:ascii="仿宋_GB2312" w:eastAsia="仿宋_GB2312" w:cs="????_GBK"/>
          <w:iCs/>
          <w:sz w:val="32"/>
          <w:szCs w:val="32"/>
        </w:rPr>
        <w:t>助洁、助浴、</w:t>
      </w:r>
      <w:r>
        <w:rPr>
          <w:rFonts w:hint="eastAsia" w:ascii="仿宋_GB2312" w:eastAsia="仿宋_GB2312" w:cs="????_GBK"/>
          <w:sz w:val="32"/>
          <w:szCs w:val="32"/>
        </w:rPr>
        <w:t>助医、助餐等服务，发挥政府兜底保障作用。</w:t>
      </w:r>
    </w:p>
    <w:p>
      <w:pPr>
        <w:widowControl/>
        <w:shd w:val="clear" w:color="auto" w:fill="FFFFFF"/>
        <w:adjustRightInd w:val="0"/>
        <w:snapToGrid w:val="0"/>
        <w:spacing w:line="640" w:lineRule="exact"/>
        <w:ind w:firstLine="640" w:firstLineChars="200"/>
        <w:rPr>
          <w:rFonts w:ascii="仿宋_GB2312" w:eastAsia="仿宋_GB2312" w:cs="楷体"/>
          <w:iCs/>
          <w:kern w:val="0"/>
          <w:sz w:val="32"/>
          <w:szCs w:val="32"/>
        </w:rPr>
      </w:pPr>
      <w:r>
        <w:rPr>
          <w:rFonts w:hint="eastAsia" w:ascii="楷体_GB2312" w:eastAsia="楷体_GB2312" w:cs="楷体"/>
          <w:kern w:val="0"/>
          <w:sz w:val="32"/>
          <w:szCs w:val="32"/>
        </w:rPr>
        <w:t>（二）优化社区养老服务。</w:t>
      </w:r>
      <w:r>
        <w:rPr>
          <w:rFonts w:hint="eastAsia" w:ascii="仿宋_GB2312" w:eastAsia="仿宋_GB2312" w:cs="楷体"/>
          <w:iCs/>
          <w:kern w:val="0"/>
          <w:sz w:val="32"/>
          <w:szCs w:val="32"/>
        </w:rPr>
        <w:t>高标准建设涵盖居家养老服务功能社区养老服务场所。新建社区养老服务场所，要按照社区养老的全部功能设计建设，对原有的社区日间照料中心提档升级，补充完善服务功能，满足社区老年人康复、保健、娱乐、就餐、日托等养老服务需求。鼓励从事家政服务、餐饮配送、物业企业、信息技术等品牌化、连锁化、规模化的社会组织或企业管理运营居家和社区养老服务设施。扶持培养一批综合化、专业化、连锁化、品牌化社区养老服务机构，推动形成以社会力量为主体的居家和社区养老服务多元供给格局。</w:t>
      </w:r>
    </w:p>
    <w:p>
      <w:pPr>
        <w:adjustRightInd w:val="0"/>
        <w:snapToGrid w:val="0"/>
        <w:spacing w:line="640" w:lineRule="exact"/>
        <w:ind w:firstLine="640" w:firstLineChars="200"/>
        <w:rPr>
          <w:rFonts w:ascii="仿宋_GB2312" w:eastAsia="仿宋_GB2312" w:cs="仿宋_GB2312"/>
          <w:iCs/>
          <w:kern w:val="0"/>
          <w:sz w:val="32"/>
          <w:szCs w:val="32"/>
        </w:rPr>
      </w:pPr>
      <w:r>
        <w:rPr>
          <w:rFonts w:hint="eastAsia" w:ascii="楷体_GB2312" w:eastAsia="楷体_GB2312" w:cs="????_GBK"/>
          <w:sz w:val="32"/>
          <w:szCs w:val="32"/>
        </w:rPr>
        <w:t>（三）推行</w:t>
      </w:r>
      <w:r>
        <w:rPr>
          <w:rFonts w:hint="eastAsia" w:ascii="楷体_GB2312" w:eastAsia="楷体_GB2312" w:cs="仿宋_GB2312"/>
          <w:kern w:val="0"/>
          <w:sz w:val="32"/>
          <w:szCs w:val="32"/>
        </w:rPr>
        <w:t>嵌入式养老服务。</w:t>
      </w:r>
      <w:r>
        <w:rPr>
          <w:rFonts w:hint="eastAsia" w:ascii="仿宋_GB2312" w:eastAsia="仿宋_GB2312" w:cs="仿宋_GB2312"/>
          <w:iCs/>
          <w:kern w:val="0"/>
          <w:sz w:val="32"/>
          <w:szCs w:val="32"/>
        </w:rPr>
        <w:t>在有条件的社区，建设综合性社区嵌入式养老服务场所，既能满足社区内失能半失能老年人入住需求，也能为社区老人提供活动场所，还可为社区居家老人提供上门服务。</w:t>
      </w:r>
    </w:p>
    <w:p>
      <w:pPr>
        <w:adjustRightInd w:val="0"/>
        <w:snapToGrid w:val="0"/>
        <w:spacing w:line="640" w:lineRule="exact"/>
        <w:ind w:firstLine="640" w:firstLineChars="200"/>
        <w:rPr>
          <w:rFonts w:ascii="仿宋_GB2312" w:eastAsia="仿宋_GB2312"/>
          <w:sz w:val="32"/>
          <w:szCs w:val="32"/>
        </w:rPr>
      </w:pPr>
      <w:r>
        <w:rPr>
          <w:rFonts w:hint="eastAsia" w:ascii="楷体_GB2312" w:eastAsia="楷体_GB2312" w:cs="????_GBK"/>
          <w:sz w:val="32"/>
          <w:szCs w:val="32"/>
        </w:rPr>
        <w:t>（四）发展农村牧区养老服务。</w:t>
      </w:r>
      <w:r>
        <w:rPr>
          <w:rFonts w:hint="eastAsia" w:ascii="仿宋_GB2312" w:eastAsia="仿宋_GB2312" w:cs="????_GBK"/>
          <w:iCs/>
          <w:sz w:val="32"/>
          <w:szCs w:val="32"/>
        </w:rPr>
        <w:t>加快建设农村牧区养老服务站，依托</w:t>
      </w:r>
      <w:r>
        <w:rPr>
          <w:rFonts w:hint="eastAsia" w:ascii="仿宋_GB2312" w:eastAsia="仿宋_GB2312" w:cs="楷体"/>
          <w:iCs/>
          <w:kern w:val="0"/>
          <w:sz w:val="32"/>
          <w:szCs w:val="32"/>
        </w:rPr>
        <w:t>养老服务站和农村牧区互助幸福院，为周边老人提供日托、就餐、助餐、助洁等养老服务。</w:t>
      </w:r>
      <w:r>
        <w:rPr>
          <w:rFonts w:hint="eastAsia" w:ascii="仿宋_GB2312" w:eastAsia="仿宋_GB2312"/>
          <w:iCs/>
          <w:sz w:val="32"/>
          <w:szCs w:val="32"/>
        </w:rPr>
        <w:t>将</w:t>
      </w:r>
      <w:r>
        <w:rPr>
          <w:rFonts w:ascii="仿宋_GB2312" w:eastAsia="仿宋_GB2312"/>
          <w:iCs/>
          <w:sz w:val="32"/>
          <w:szCs w:val="32"/>
        </w:rPr>
        <w:t>12349</w:t>
      </w:r>
      <w:r>
        <w:rPr>
          <w:rFonts w:hint="eastAsia" w:ascii="仿宋_GB2312" w:eastAsia="仿宋_GB2312"/>
          <w:iCs/>
          <w:sz w:val="32"/>
          <w:szCs w:val="32"/>
        </w:rPr>
        <w:t>便民为老服务能力延伸到偏远的乡镇、农村牧区，为更多农村牧区老年人提供政策咨询、医疗、家政、餐饮、便民配送等服务</w:t>
      </w:r>
      <w:r>
        <w:rPr>
          <w:rFonts w:hint="eastAsia" w:ascii="仿宋_GB2312" w:eastAsia="仿宋_GB2312"/>
          <w:sz w:val="32"/>
          <w:szCs w:val="32"/>
        </w:rPr>
        <w:t>。以政府购买服务的方式为农村牧区特困供养、低保、建档立卡范围的高龄、失能、重度残疾老年人购买养老服务，支持社会志愿者为农村老年人开展精神慰藉、心理咨询、定期走访等服务，助力打赢脱贫攻坚战。</w:t>
      </w:r>
      <w:r>
        <w:rPr>
          <w:rFonts w:hint="eastAsia" w:ascii="仿宋_GB2312" w:eastAsia="仿宋_GB2312" w:cs="????_GBK"/>
          <w:sz w:val="32"/>
          <w:szCs w:val="32"/>
        </w:rPr>
        <w:t>全面建立居家探访制度，开展农村牧区空巢</w:t>
      </w:r>
      <w:r>
        <w:rPr>
          <w:rFonts w:ascii="仿宋_GB2312" w:eastAsia="仿宋_GB2312" w:cs="????_GBK"/>
          <w:sz w:val="32"/>
          <w:szCs w:val="32"/>
        </w:rPr>
        <w:t>/</w:t>
      </w:r>
      <w:r>
        <w:rPr>
          <w:rFonts w:hint="eastAsia" w:ascii="仿宋_GB2312" w:eastAsia="仿宋_GB2312" w:cs="????_GBK"/>
          <w:sz w:val="32"/>
          <w:szCs w:val="32"/>
        </w:rPr>
        <w:t>留守老年人关爱活动。</w:t>
      </w:r>
    </w:p>
    <w:p>
      <w:pPr>
        <w:adjustRightInd w:val="0"/>
        <w:snapToGrid w:val="0"/>
        <w:spacing w:line="640" w:lineRule="exact"/>
        <w:ind w:firstLine="640" w:firstLineChars="200"/>
        <w:rPr>
          <w:rFonts w:ascii="仿宋_GB2312" w:eastAsia="仿宋_GB2312" w:cs="楷体"/>
          <w:kern w:val="0"/>
          <w:sz w:val="32"/>
          <w:szCs w:val="32"/>
        </w:rPr>
      </w:pPr>
      <w:r>
        <w:rPr>
          <w:rFonts w:hint="eastAsia" w:ascii="楷体_GB2312" w:eastAsia="楷体_GB2312" w:cs="????_GBK"/>
          <w:sz w:val="32"/>
          <w:szCs w:val="32"/>
        </w:rPr>
        <w:t>（五）推动智慧养老服务。</w:t>
      </w:r>
      <w:r>
        <w:rPr>
          <w:rFonts w:hint="eastAsia" w:ascii="仿宋_GB2312" w:eastAsia="仿宋_GB2312" w:cs="楷体"/>
          <w:kern w:val="0"/>
          <w:sz w:val="32"/>
          <w:szCs w:val="32"/>
        </w:rPr>
        <w:t>依托</w:t>
      </w:r>
      <w:r>
        <w:rPr>
          <w:rFonts w:ascii="仿宋_GB2312" w:eastAsia="仿宋_GB2312" w:cs="楷体"/>
          <w:kern w:val="0"/>
          <w:sz w:val="32"/>
          <w:szCs w:val="32"/>
        </w:rPr>
        <w:t>12349</w:t>
      </w:r>
      <w:r>
        <w:rPr>
          <w:rFonts w:hint="eastAsia" w:ascii="仿宋_GB2312" w:eastAsia="仿宋_GB2312" w:cs="楷体"/>
          <w:kern w:val="0"/>
          <w:sz w:val="32"/>
          <w:szCs w:val="32"/>
        </w:rPr>
        <w:t>便民为老服务平台、社区日间照料中心和农村牧区养老服务站，建立老年人基本情况和养老需求动态管理数据库，实现数据互联互通。</w:t>
      </w:r>
      <w:r>
        <w:rPr>
          <w:rFonts w:hint="eastAsia" w:ascii="仿宋_GB2312" w:eastAsia="仿宋_GB2312" w:cs="????_GBK"/>
          <w:sz w:val="32"/>
          <w:szCs w:val="32"/>
        </w:rPr>
        <w:t>打造“互联网</w:t>
      </w:r>
      <w:r>
        <w:rPr>
          <w:rFonts w:ascii="仿宋_GB2312" w:eastAsia="仿宋_GB2312" w:cs="????_GBK"/>
          <w:sz w:val="32"/>
          <w:szCs w:val="32"/>
        </w:rPr>
        <w:t>+</w:t>
      </w:r>
      <w:r>
        <w:rPr>
          <w:rFonts w:hint="eastAsia" w:ascii="仿宋_GB2312" w:eastAsia="仿宋_GB2312" w:cs="????_GBK"/>
          <w:sz w:val="32"/>
          <w:szCs w:val="32"/>
        </w:rPr>
        <w:t>养老”在居家和社区养老服务中的应用模式，推广智能养老服务产品和技术应用，为老年人提供“点菜式”就近便捷养老服务。</w:t>
      </w:r>
      <w:r>
        <w:rPr>
          <w:rFonts w:hint="eastAsia" w:ascii="仿宋_GB2312" w:hAnsi="微软雅黑" w:eastAsia="仿宋_GB2312" w:cs="宋体"/>
          <w:spacing w:val="8"/>
          <w:kern w:val="0"/>
          <w:sz w:val="32"/>
          <w:szCs w:val="32"/>
        </w:rPr>
        <w:t>推动智慧健康养老产业发展，拓展信息技术在养老领域的应用，制定智慧健康养老产品及服务推广目录，开展智慧健康养老应用试点示范。建设养老服务管理信息系统，</w:t>
      </w:r>
      <w:r>
        <w:rPr>
          <w:rFonts w:hint="eastAsia" w:ascii="仿宋_GB2312" w:eastAsia="仿宋_GB2312" w:cs="????_GBK"/>
          <w:sz w:val="32"/>
          <w:szCs w:val="32"/>
        </w:rPr>
        <w:t>推进与户籍、医疗、社会保险、社会救助等信息资源对接。推广应用</w:t>
      </w:r>
      <w:r>
        <w:rPr>
          <w:rFonts w:ascii="仿宋_GB2312" w:eastAsia="仿宋_GB2312" w:cs="????_GBK"/>
          <w:sz w:val="32"/>
          <w:szCs w:val="32"/>
        </w:rPr>
        <w:t>12349</w:t>
      </w:r>
      <w:r>
        <w:rPr>
          <w:rFonts w:hint="eastAsia" w:ascii="仿宋_GB2312" w:eastAsia="仿宋_GB2312" w:cs="????_GBK"/>
          <w:sz w:val="32"/>
          <w:szCs w:val="32"/>
        </w:rPr>
        <w:t>便民为老服务生存认证系统，实现全市老年人定期生存认证。加强老年人身份、生物识别等信息安全保护。</w:t>
      </w:r>
    </w:p>
    <w:p>
      <w:pPr>
        <w:widowControl/>
        <w:shd w:val="clear" w:color="auto" w:fill="FFFFFF"/>
        <w:adjustRightInd w:val="0"/>
        <w:snapToGrid w:val="0"/>
        <w:spacing w:line="640" w:lineRule="exact"/>
        <w:ind w:firstLine="640" w:firstLineChars="200"/>
        <w:rPr>
          <w:rFonts w:ascii="仿宋_GB2312" w:eastAsia="仿宋_GB2312" w:cs="????_GBK"/>
          <w:sz w:val="32"/>
          <w:szCs w:val="32"/>
        </w:rPr>
      </w:pPr>
      <w:r>
        <w:rPr>
          <w:rFonts w:hint="eastAsia" w:ascii="楷体_GB2312" w:eastAsia="楷体_GB2312" w:cs="????_GBK"/>
          <w:sz w:val="32"/>
          <w:szCs w:val="32"/>
        </w:rPr>
        <w:t>（六）加强医养结合服务。</w:t>
      </w:r>
      <w:r>
        <w:rPr>
          <w:rFonts w:hint="eastAsia" w:ascii="仿宋_GB2312" w:eastAsia="仿宋_GB2312" w:cs="????_GBK"/>
          <w:sz w:val="32"/>
          <w:szCs w:val="32"/>
        </w:rPr>
        <w:t>民政、卫健、医保等相关部门要积极沟通协作，有序推动医养结合工作，使老年人在居家和社区养老服务中获得方便、快捷、可及的医疗卫生服务。</w:t>
      </w:r>
      <w:r>
        <w:rPr>
          <w:rFonts w:hint="eastAsia" w:ascii="仿宋_GB2312" w:hAnsi="微软雅黑" w:eastAsia="仿宋_GB2312" w:cs="宋体"/>
          <w:spacing w:val="8"/>
          <w:kern w:val="0"/>
          <w:sz w:val="32"/>
          <w:szCs w:val="32"/>
        </w:rPr>
        <w:t>建立村医参与健康养老服务激励机制，支持家庭医生出诊为困难老年人服务，重点对辖区</w:t>
      </w:r>
      <w:r>
        <w:rPr>
          <w:rFonts w:ascii="仿宋_GB2312" w:hAnsi="微软雅黑" w:eastAsia="仿宋_GB2312" w:cs="宋体"/>
          <w:spacing w:val="8"/>
          <w:kern w:val="0"/>
          <w:sz w:val="32"/>
          <w:szCs w:val="32"/>
        </w:rPr>
        <w:t>65</w:t>
      </w:r>
      <w:r>
        <w:rPr>
          <w:rFonts w:hint="eastAsia" w:ascii="仿宋_GB2312" w:hAnsi="微软雅黑" w:eastAsia="仿宋_GB2312" w:cs="宋体"/>
          <w:spacing w:val="8"/>
          <w:kern w:val="0"/>
          <w:sz w:val="32"/>
          <w:szCs w:val="32"/>
        </w:rPr>
        <w:t>周岁以上老年人开展预防、保健、康复、医疗、健教、心理咨询、家庭医生签约“六位一体</w:t>
      </w:r>
      <w:r>
        <w:rPr>
          <w:rFonts w:ascii="仿宋_GB2312" w:hAnsi="微软雅黑" w:eastAsia="仿宋_GB2312" w:cs="宋体"/>
          <w:spacing w:val="8"/>
          <w:kern w:val="0"/>
          <w:sz w:val="32"/>
          <w:szCs w:val="32"/>
        </w:rPr>
        <w:t>+</w:t>
      </w:r>
      <w:r>
        <w:rPr>
          <w:rFonts w:hint="eastAsia" w:ascii="仿宋_GB2312" w:hAnsi="微软雅黑" w:eastAsia="仿宋_GB2312" w:cs="宋体"/>
          <w:spacing w:val="8"/>
          <w:kern w:val="0"/>
          <w:sz w:val="32"/>
          <w:szCs w:val="32"/>
        </w:rPr>
        <w:t>签约”的服务。鼓励医护人员到医养结合机构执业，并在职称评定等方面享受同等待遇。促进现有医疗卫生机构和居家社区养老服务机构合作，发挥互补优势。</w:t>
      </w:r>
    </w:p>
    <w:p>
      <w:pPr>
        <w:widowControl/>
        <w:shd w:val="clear" w:color="auto" w:fill="FFFFFF"/>
        <w:adjustRightInd w:val="0"/>
        <w:snapToGrid w:val="0"/>
        <w:spacing w:line="640" w:lineRule="exact"/>
        <w:ind w:firstLine="640" w:firstLineChars="200"/>
        <w:rPr>
          <w:rFonts w:ascii="仿宋_GB2312" w:eastAsia="仿宋_GB2312"/>
          <w:sz w:val="32"/>
          <w:szCs w:val="32"/>
        </w:rPr>
      </w:pPr>
      <w:r>
        <w:rPr>
          <w:rFonts w:hint="eastAsia" w:ascii="楷体_GB2312" w:eastAsia="楷体_GB2312" w:cs="????_GBK"/>
          <w:sz w:val="32"/>
          <w:szCs w:val="32"/>
        </w:rPr>
        <w:t>（七）推进养老服务标准化建设。</w:t>
      </w:r>
      <w:r>
        <w:rPr>
          <w:rFonts w:hint="eastAsia" w:ascii="仿宋_GB2312" w:hAnsi="仿宋" w:eastAsia="仿宋_GB2312"/>
          <w:sz w:val="32"/>
          <w:szCs w:val="32"/>
        </w:rPr>
        <w:t>建立养老服务标准化管理机制。指导制定养老服务企业标准，探索研究养老服务技能、机构管理、居家养老服务、社区养老服务等地方标准，加强与国家标准、行业标准的衔接，增强标准的实用性和有效性。</w:t>
      </w:r>
      <w:r>
        <w:rPr>
          <w:rFonts w:hint="eastAsia" w:ascii="仿宋_GB2312" w:eastAsia="仿宋_GB2312"/>
          <w:sz w:val="32"/>
          <w:szCs w:val="32"/>
        </w:rPr>
        <w:t>通过</w:t>
      </w:r>
      <w:r>
        <w:rPr>
          <w:rFonts w:ascii="仿宋_GB2312" w:eastAsia="仿宋_GB2312"/>
          <w:sz w:val="32"/>
          <w:szCs w:val="32"/>
        </w:rPr>
        <w:t>12349</w:t>
      </w:r>
      <w:r>
        <w:rPr>
          <w:rFonts w:hint="eastAsia" w:ascii="仿宋_GB2312" w:eastAsia="仿宋_GB2312"/>
          <w:sz w:val="32"/>
          <w:szCs w:val="32"/>
        </w:rPr>
        <w:t>便民为老服务平台对居家和社区养老服务标准化建设予以指导和监督，</w:t>
      </w:r>
      <w:r>
        <w:rPr>
          <w:rFonts w:hint="eastAsia" w:ascii="仿宋_GB2312" w:hAnsi="仿宋" w:eastAsia="仿宋_GB2312"/>
          <w:sz w:val="32"/>
          <w:szCs w:val="32"/>
        </w:rPr>
        <w:t>用标准化管理促进养老服务提升。</w:t>
      </w:r>
    </w:p>
    <w:p>
      <w:pPr>
        <w:widowControl/>
        <w:shd w:val="clear" w:color="auto" w:fill="FFFFFF"/>
        <w:adjustRightInd w:val="0"/>
        <w:snapToGrid w:val="0"/>
        <w:spacing w:line="640" w:lineRule="exact"/>
        <w:ind w:firstLine="640" w:firstLineChars="200"/>
        <w:rPr>
          <w:rFonts w:ascii="仿宋_GB2312" w:hAnsi="微软雅黑" w:eastAsia="仿宋_GB2312" w:cs="宋体"/>
          <w:spacing w:val="8"/>
          <w:kern w:val="0"/>
          <w:sz w:val="32"/>
          <w:szCs w:val="32"/>
        </w:rPr>
      </w:pPr>
      <w:r>
        <w:rPr>
          <w:rFonts w:hint="eastAsia" w:ascii="楷体_GB2312" w:eastAsia="楷体_GB2312" w:cs="????_GBK"/>
          <w:sz w:val="32"/>
          <w:szCs w:val="32"/>
        </w:rPr>
        <w:t>（八）加强人才队伍建设。</w:t>
      </w:r>
      <w:r>
        <w:rPr>
          <w:rFonts w:hint="eastAsia" w:ascii="仿宋_GB2312" w:hAnsi="宋体" w:eastAsia="仿宋_GB2312" w:cs="宋体"/>
          <w:kern w:val="0"/>
          <w:sz w:val="32"/>
          <w:szCs w:val="32"/>
          <w:shd w:val="clear" w:color="auto" w:fill="FFFFFF"/>
        </w:rPr>
        <w:t>将养老服务职业纳入人社部门就业再就业培训体系，</w:t>
      </w:r>
      <w:r>
        <w:rPr>
          <w:rFonts w:hint="eastAsia" w:ascii="仿宋_GB2312" w:hAnsi="微软雅黑" w:eastAsia="仿宋_GB2312" w:cs="宋体"/>
          <w:spacing w:val="8"/>
          <w:kern w:val="0"/>
          <w:sz w:val="32"/>
          <w:szCs w:val="32"/>
        </w:rPr>
        <w:t>开展养老服务机构负责人、管理人员、护理人员的岗前培训及定期培训。鼓励各类院校特别是职业院校（含技工学校）设置养老服务相关专业或开设相关课程，在普通高校开设健康服务与管理、中医养生学、中医康复学等相关专业。建立职业院校（含技工学校）养老服务实训基地，</w:t>
      </w:r>
      <w:r>
        <w:rPr>
          <w:rFonts w:hint="eastAsia" w:ascii="仿宋_GB2312" w:hAnsi="微软雅黑" w:eastAsia="仿宋_GB2312"/>
          <w:color w:val="000000"/>
          <w:sz w:val="32"/>
          <w:szCs w:val="32"/>
          <w:shd w:val="clear" w:color="auto" w:fill="FFFFFF"/>
        </w:rPr>
        <w:t>开设养老管理与护理专业，开启校企联合办学培养养老人才模式，组织养老机构与校方签订用人协议，设立奖学金。</w:t>
      </w:r>
      <w:r>
        <w:rPr>
          <w:rFonts w:hint="eastAsia" w:ascii="仿宋_GB2312" w:hAnsi="微软雅黑" w:eastAsia="仿宋_GB2312" w:cs="宋体"/>
          <w:spacing w:val="8"/>
          <w:kern w:val="0"/>
          <w:sz w:val="32"/>
          <w:szCs w:val="32"/>
        </w:rPr>
        <w:t>组织开展养老护理员技能大赛，对获奖选手按规定授予“技术能手”荣誉称号，并给予奖励。加强对养老护理员先进事迹与奉献精神的社会宣传，让养老护理员的劳动创造和社会价值在全社会得到尊重</w:t>
      </w:r>
      <w:r>
        <w:rPr>
          <w:rFonts w:hint="eastAsia" w:ascii="仿宋_GB2312" w:eastAsia="仿宋_GB2312" w:cs="????_GBK"/>
          <w:sz w:val="32"/>
          <w:szCs w:val="32"/>
        </w:rPr>
        <w:t>。</w:t>
      </w:r>
    </w:p>
    <w:p>
      <w:pPr>
        <w:adjustRightInd w:val="0"/>
        <w:snapToGrid w:val="0"/>
        <w:spacing w:line="640" w:lineRule="exact"/>
        <w:ind w:firstLine="640" w:firstLineChars="200"/>
        <w:rPr>
          <w:rFonts w:ascii="黑体" w:eastAsia="黑体"/>
          <w:bCs/>
          <w:sz w:val="32"/>
          <w:szCs w:val="32"/>
        </w:rPr>
      </w:pPr>
      <w:r>
        <w:rPr>
          <w:rFonts w:hint="eastAsia" w:ascii="黑体" w:eastAsia="黑体"/>
          <w:bCs/>
          <w:sz w:val="32"/>
          <w:szCs w:val="32"/>
        </w:rPr>
        <w:t>五、实施步骤</w:t>
      </w:r>
    </w:p>
    <w:p>
      <w:pPr>
        <w:widowControl/>
        <w:shd w:val="clear" w:color="auto" w:fill="FFFFFF"/>
        <w:adjustRightInd w:val="0"/>
        <w:snapToGrid w:val="0"/>
        <w:spacing w:line="640" w:lineRule="exact"/>
        <w:ind w:firstLine="640" w:firstLineChars="200"/>
        <w:rPr>
          <w:rFonts w:ascii="仿宋_GB2312" w:eastAsia="仿宋_GB2312" w:cs="楷体"/>
          <w:bCs/>
          <w:iCs/>
          <w:sz w:val="32"/>
          <w:szCs w:val="32"/>
        </w:rPr>
      </w:pPr>
      <w:r>
        <w:rPr>
          <w:rFonts w:hint="eastAsia" w:ascii="楷体_GB2312" w:eastAsia="楷体_GB2312" w:cs="楷体"/>
          <w:kern w:val="0"/>
          <w:sz w:val="32"/>
          <w:szCs w:val="32"/>
        </w:rPr>
        <w:t>（一）培育试点阶段（</w:t>
      </w:r>
      <w:r>
        <w:rPr>
          <w:rFonts w:ascii="楷体_GB2312" w:eastAsia="楷体_GB2312" w:cs="楷体"/>
          <w:kern w:val="0"/>
          <w:sz w:val="32"/>
          <w:szCs w:val="32"/>
        </w:rPr>
        <w:t>2020</w:t>
      </w:r>
      <w:r>
        <w:rPr>
          <w:rFonts w:hint="eastAsia" w:ascii="楷体_GB2312" w:eastAsia="楷体_GB2312" w:cs="楷体"/>
          <w:kern w:val="0"/>
          <w:sz w:val="32"/>
          <w:szCs w:val="32"/>
        </w:rPr>
        <w:t>年）。</w:t>
      </w:r>
      <w:r>
        <w:rPr>
          <w:rFonts w:hint="eastAsia" w:ascii="仿宋_GB2312" w:eastAsia="仿宋_GB2312"/>
          <w:sz w:val="32"/>
          <w:szCs w:val="32"/>
        </w:rPr>
        <w:t>完善政策体系，培养一批可推广、可复制、可持续的</w:t>
      </w:r>
      <w:r>
        <w:rPr>
          <w:rFonts w:hint="eastAsia" w:ascii="仿宋_GB2312" w:eastAsia="仿宋_GB2312" w:cs="楷体"/>
          <w:sz w:val="32"/>
          <w:szCs w:val="32"/>
        </w:rPr>
        <w:t>综合化、专业化、品牌化的居家社区养老服务机构，发挥示范引领作用。昆区、青山区、东河区、九原区、稀土高新区</w:t>
      </w:r>
      <w:r>
        <w:rPr>
          <w:rFonts w:hint="eastAsia" w:ascii="仿宋_GB2312" w:eastAsia="仿宋_GB2312" w:cs="楷体"/>
          <w:bCs/>
          <w:iCs/>
          <w:sz w:val="32"/>
          <w:szCs w:val="32"/>
        </w:rPr>
        <w:t>至少要选择两个社区，进行涵盖居家养老服务平台、保健康复、娱乐活动、老年大学、老年餐厅等社区养老服务等内容的居家社区综合服务中心试点建设。年底前，</w:t>
      </w:r>
      <w:r>
        <w:rPr>
          <w:rFonts w:ascii="仿宋_GB2312" w:eastAsia="仿宋_GB2312" w:cs="楷体"/>
          <w:bCs/>
          <w:iCs/>
          <w:sz w:val="32"/>
          <w:szCs w:val="32"/>
        </w:rPr>
        <w:t>20%</w:t>
      </w:r>
      <w:r>
        <w:rPr>
          <w:rFonts w:hint="eastAsia" w:ascii="仿宋_GB2312" w:eastAsia="仿宋_GB2312" w:cs="楷体"/>
          <w:bCs/>
          <w:iCs/>
          <w:sz w:val="32"/>
          <w:szCs w:val="32"/>
        </w:rPr>
        <w:t>的社区（嘎查村）完成建设任务。石拐区、白云矿区、土右旗、达茂旗、固阳县要在年内至少建成一个标准的居家社区综合服务中心。农村牧区要依靠敬老院、互助幸福院、养老服务站等设施进行升级改造，满足农牧区老人刚性养老服务需求和基本养老服务需求。</w:t>
      </w:r>
    </w:p>
    <w:p>
      <w:pPr>
        <w:widowControl/>
        <w:shd w:val="clear" w:color="auto" w:fill="FFFFFF"/>
        <w:adjustRightInd w:val="0"/>
        <w:snapToGrid w:val="0"/>
        <w:spacing w:line="640" w:lineRule="exact"/>
        <w:ind w:firstLine="640" w:firstLineChars="200"/>
        <w:rPr>
          <w:rFonts w:ascii="仿宋_GB2312" w:eastAsia="仿宋_GB2312"/>
          <w:sz w:val="32"/>
          <w:szCs w:val="32"/>
        </w:rPr>
      </w:pPr>
      <w:r>
        <w:rPr>
          <w:rFonts w:hint="eastAsia" w:ascii="楷体_GB2312" w:eastAsia="楷体_GB2312" w:cs="楷体"/>
          <w:kern w:val="0"/>
          <w:sz w:val="32"/>
          <w:szCs w:val="32"/>
        </w:rPr>
        <w:t>（二）全面建设阶段（</w:t>
      </w:r>
      <w:r>
        <w:rPr>
          <w:rFonts w:ascii="楷体_GB2312" w:eastAsia="楷体_GB2312" w:cs="楷体"/>
          <w:kern w:val="0"/>
          <w:sz w:val="32"/>
          <w:szCs w:val="32"/>
        </w:rPr>
        <w:t>2021</w:t>
      </w:r>
      <w:r>
        <w:rPr>
          <w:rFonts w:hint="eastAsia" w:ascii="楷体_GB2312" w:eastAsia="楷体_GB2312" w:cs="楷体"/>
          <w:kern w:val="0"/>
          <w:sz w:val="32"/>
          <w:szCs w:val="32"/>
        </w:rPr>
        <w:t>年）</w:t>
      </w:r>
      <w:r>
        <w:rPr>
          <w:rFonts w:hint="eastAsia" w:ascii="仿宋_GB2312" w:eastAsia="仿宋_GB2312"/>
          <w:sz w:val="32"/>
          <w:szCs w:val="32"/>
        </w:rPr>
        <w:t>。</w:t>
      </w:r>
      <w:r>
        <w:rPr>
          <w:rFonts w:hint="eastAsia" w:ascii="仿宋_GB2312" w:eastAsia="仿宋_GB2312"/>
          <w:bCs/>
          <w:iCs/>
          <w:sz w:val="32"/>
          <w:szCs w:val="32"/>
        </w:rPr>
        <w:t>推广成功试点经验做法，进一步与餐饮、家政服务、医疗康复、旅游休闲等服务业融合发展，扩大服务覆盖面。</w:t>
      </w:r>
      <w:r>
        <w:rPr>
          <w:rFonts w:ascii="仿宋_GB2312" w:eastAsia="仿宋_GB2312"/>
          <w:bCs/>
          <w:sz w:val="32"/>
          <w:szCs w:val="32"/>
        </w:rPr>
        <w:t>50%</w:t>
      </w:r>
      <w:r>
        <w:rPr>
          <w:rFonts w:hint="eastAsia" w:ascii="仿宋_GB2312" w:eastAsia="仿宋_GB2312"/>
          <w:sz w:val="32"/>
          <w:szCs w:val="32"/>
        </w:rPr>
        <w:t>的社区（嘎查村）都能够为老年人提供高标准的、综合性的居家社区养老服务，提升老年人的幸福感获得感。</w:t>
      </w:r>
    </w:p>
    <w:p>
      <w:pPr>
        <w:widowControl/>
        <w:shd w:val="clear" w:color="auto" w:fill="FFFFFF"/>
        <w:adjustRightInd w:val="0"/>
        <w:snapToGrid w:val="0"/>
        <w:spacing w:line="640" w:lineRule="exact"/>
        <w:ind w:firstLine="640" w:firstLineChars="200"/>
        <w:rPr>
          <w:rFonts w:ascii="楷体_GB2312" w:eastAsia="楷体_GB2312" w:cs="楷体"/>
          <w:kern w:val="0"/>
          <w:sz w:val="32"/>
          <w:szCs w:val="32"/>
        </w:rPr>
      </w:pPr>
      <w:r>
        <w:rPr>
          <w:rFonts w:hint="eastAsia" w:ascii="楷体_GB2312" w:eastAsia="楷体_GB2312" w:cs="楷体"/>
          <w:kern w:val="0"/>
          <w:sz w:val="32"/>
          <w:szCs w:val="32"/>
        </w:rPr>
        <w:t>（三）巩固提升阶段（</w:t>
      </w:r>
      <w:r>
        <w:rPr>
          <w:rFonts w:ascii="楷体_GB2312" w:eastAsia="楷体_GB2312" w:cs="楷体"/>
          <w:kern w:val="0"/>
          <w:sz w:val="32"/>
          <w:szCs w:val="32"/>
        </w:rPr>
        <w:t>2022</w:t>
      </w:r>
      <w:r>
        <w:rPr>
          <w:rFonts w:hint="eastAsia" w:ascii="楷体_GB2312" w:eastAsia="楷体_GB2312" w:cs="楷体"/>
          <w:kern w:val="0"/>
          <w:sz w:val="32"/>
          <w:szCs w:val="32"/>
        </w:rPr>
        <w:t>年）</w:t>
      </w:r>
      <w:r>
        <w:rPr>
          <w:rFonts w:hint="eastAsia" w:ascii="仿宋_GB2312" w:eastAsia="仿宋_GB2312"/>
          <w:sz w:val="32"/>
          <w:szCs w:val="32"/>
        </w:rPr>
        <w:t>。</w:t>
      </w:r>
      <w:r>
        <w:rPr>
          <w:rFonts w:hint="eastAsia" w:ascii="仿宋_GB2312" w:eastAsia="仿宋_GB2312"/>
          <w:bCs/>
          <w:iCs/>
          <w:sz w:val="32"/>
          <w:szCs w:val="32"/>
        </w:rPr>
        <w:t>对已经建成的社区（嘎查村），要巩固提升；对未完成建设任务的社区（嘎查村），要进一步整合资源，实现综合性的居家社区养老服务设施全覆盖，并不断创新发展。</w:t>
      </w:r>
    </w:p>
    <w:p>
      <w:pPr>
        <w:adjustRightInd w:val="0"/>
        <w:snapToGrid w:val="0"/>
        <w:spacing w:line="640" w:lineRule="exact"/>
        <w:ind w:firstLine="640" w:firstLineChars="200"/>
        <w:rPr>
          <w:rFonts w:ascii="黑体" w:hAnsi="黑体" w:eastAsia="黑体" w:cs="楷体"/>
          <w:kern w:val="0"/>
          <w:sz w:val="32"/>
          <w:szCs w:val="32"/>
        </w:rPr>
      </w:pPr>
      <w:r>
        <w:rPr>
          <w:rFonts w:hint="eastAsia" w:ascii="黑体" w:hAnsi="黑体" w:eastAsia="黑体" w:cs="楷体"/>
          <w:kern w:val="0"/>
          <w:sz w:val="32"/>
          <w:szCs w:val="32"/>
        </w:rPr>
        <w:t>六、保障措施</w:t>
      </w:r>
    </w:p>
    <w:p>
      <w:pPr>
        <w:adjustRightInd w:val="0"/>
        <w:snapToGrid w:val="0"/>
        <w:spacing w:line="640" w:lineRule="exact"/>
        <w:ind w:firstLine="640" w:firstLineChars="200"/>
        <w:rPr>
          <w:rFonts w:ascii="方正小标宋简体" w:hAnsi="仿宋" w:eastAsia="方正小标宋简体"/>
          <w:sz w:val="32"/>
          <w:szCs w:val="32"/>
        </w:rPr>
      </w:pPr>
      <w:r>
        <w:rPr>
          <w:rFonts w:hint="eastAsia" w:ascii="楷体_GB2312" w:eastAsia="楷体_GB2312" w:cs="????_GBK"/>
          <w:sz w:val="32"/>
          <w:szCs w:val="32"/>
        </w:rPr>
        <w:t>（一）健全工作机制。</w:t>
      </w:r>
      <w:r>
        <w:rPr>
          <w:rFonts w:hint="eastAsia" w:ascii="仿宋_GB2312" w:eastAsia="仿宋_GB2312" w:cs="楷体"/>
          <w:kern w:val="0"/>
          <w:sz w:val="32"/>
          <w:szCs w:val="32"/>
        </w:rPr>
        <w:t>建立居家和社区养老服务工作领导小组和局际联席会议制度，将承担的主要任务指标纳入为民办实事项目，纳入政府工作议事日程和目标责任考核内容，定期召开领导小组会议，每半年召开一次联席会议，明确发展目标，及时解决居家和社区养老服务工作中的矛盾和问题。将居家和社区养老服务改革试点工作列入政府年度工作考核范围，抓好责任落实。</w:t>
      </w:r>
    </w:p>
    <w:p>
      <w:pPr>
        <w:pStyle w:val="5"/>
        <w:shd w:val="clear" w:color="auto" w:fill="FFFFFF"/>
        <w:adjustRightInd w:val="0"/>
        <w:snapToGrid w:val="0"/>
        <w:spacing w:before="0" w:beforeAutospacing="0" w:after="0" w:afterAutospacing="0" w:line="640" w:lineRule="exact"/>
        <w:ind w:firstLine="640" w:firstLineChars="200"/>
        <w:jc w:val="both"/>
        <w:rPr>
          <w:rFonts w:ascii="仿宋_GB2312" w:eastAsia="仿宋_GB2312"/>
          <w:sz w:val="32"/>
          <w:szCs w:val="32"/>
        </w:rPr>
      </w:pPr>
      <w:r>
        <w:rPr>
          <w:rFonts w:hint="eastAsia" w:ascii="楷体_GB2312" w:hAnsi="黑体" w:eastAsia="楷体_GB2312" w:cs="黑体"/>
          <w:sz w:val="32"/>
          <w:szCs w:val="32"/>
        </w:rPr>
        <w:t>（二）加大资金支持。</w:t>
      </w:r>
      <w:r>
        <w:rPr>
          <w:rFonts w:hint="eastAsia" w:ascii="仿宋_GB2312" w:hAnsi="黑体" w:eastAsia="仿宋_GB2312" w:cs="黑体"/>
          <w:sz w:val="32"/>
          <w:szCs w:val="32"/>
        </w:rPr>
        <w:t>居家和社区养老服务工作资金由各级财政匹配并吸引社会资本投入，通过多元化筹资模式建设实施。</w:t>
      </w:r>
    </w:p>
    <w:p>
      <w:pPr>
        <w:pStyle w:val="5"/>
        <w:shd w:val="clear" w:color="auto" w:fill="FFFFFF"/>
        <w:adjustRightInd w:val="0"/>
        <w:snapToGrid w:val="0"/>
        <w:spacing w:before="0" w:beforeAutospacing="0" w:after="0" w:afterAutospacing="0" w:line="640" w:lineRule="exact"/>
        <w:ind w:firstLine="640" w:firstLineChars="200"/>
        <w:jc w:val="both"/>
        <w:rPr>
          <w:rFonts w:ascii="仿宋_GB2312" w:eastAsia="仿宋_GB2312" w:cs="仿宋_GB2312"/>
          <w:color w:val="000000"/>
          <w:sz w:val="32"/>
          <w:szCs w:val="32"/>
        </w:rPr>
      </w:pPr>
      <w:r>
        <w:rPr>
          <w:rFonts w:ascii="仿宋_GB2312" w:eastAsia="仿宋_GB2312" w:cs="黑体"/>
          <w:sz w:val="32"/>
          <w:szCs w:val="32"/>
        </w:rPr>
        <w:t>1</w:t>
      </w:r>
      <w:r>
        <w:rPr>
          <w:rFonts w:hint="eastAsia" w:ascii="仿宋_GB2312" w:eastAsia="仿宋_GB2312" w:cs="黑体"/>
          <w:sz w:val="32"/>
          <w:szCs w:val="32"/>
        </w:rPr>
        <w:t>、居家</w:t>
      </w:r>
      <w:r>
        <w:rPr>
          <w:rFonts w:hint="eastAsia" w:ascii="仿宋_GB2312" w:eastAsia="仿宋_GB2312" w:cs="仿宋_GB2312"/>
          <w:color w:val="000000"/>
          <w:sz w:val="32"/>
          <w:szCs w:val="32"/>
        </w:rPr>
        <w:t>社区养老服务设施建设补贴。每新建成一个居家社区综合服务中心的，可享受一次性补贴，城市按20—30万元</w:t>
      </w:r>
      <w:r>
        <w:rPr>
          <w:rFonts w:ascii="仿宋_GB2312" w:eastAsia="仿宋_GB2312" w:cs="仿宋_GB2312"/>
          <w:color w:val="000000"/>
          <w:sz w:val="32"/>
          <w:szCs w:val="32"/>
        </w:rPr>
        <w:t>/</w:t>
      </w:r>
      <w:r>
        <w:rPr>
          <w:rFonts w:hint="eastAsia" w:ascii="仿宋_GB2312" w:eastAsia="仿宋_GB2312" w:cs="仿宋_GB2312"/>
          <w:color w:val="000000"/>
          <w:sz w:val="32"/>
          <w:szCs w:val="32"/>
        </w:rPr>
        <w:t>个、农村牧区按</w:t>
      </w:r>
      <w:r>
        <w:rPr>
          <w:rFonts w:ascii="仿宋_GB2312" w:eastAsia="仿宋_GB2312" w:cs="仿宋_GB2312"/>
          <w:color w:val="000000"/>
          <w:sz w:val="32"/>
          <w:szCs w:val="32"/>
        </w:rPr>
        <w:t>5</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w:t>
      </w:r>
      <w:r>
        <w:rPr>
          <w:rFonts w:hint="eastAsia" w:ascii="仿宋_GB2312" w:eastAsia="仿宋_GB2312" w:cs="仿宋_GB2312"/>
          <w:color w:val="000000"/>
          <w:sz w:val="32"/>
          <w:szCs w:val="32"/>
        </w:rPr>
        <w:t>个补助，用于房屋建设、改造、装修或购置设施设备等。可结合实际统筹使用。</w:t>
      </w:r>
    </w:p>
    <w:p>
      <w:pPr>
        <w:adjustRightInd w:val="0"/>
        <w:snapToGrid w:val="0"/>
        <w:spacing w:line="640" w:lineRule="exact"/>
        <w:ind w:firstLine="640" w:firstLineChars="200"/>
        <w:rPr>
          <w:rFonts w:ascii="仿宋_GB2312" w:eastAsia="仿宋_GB2312" w:cs="仿宋_GB2312"/>
          <w:kern w:val="0"/>
          <w:sz w:val="32"/>
          <w:szCs w:val="32"/>
        </w:rPr>
      </w:pPr>
      <w:r>
        <w:rPr>
          <w:rFonts w:ascii="仿宋_GB2312" w:eastAsia="仿宋_GB2312" w:cs="黑体"/>
          <w:kern w:val="0"/>
          <w:sz w:val="32"/>
          <w:szCs w:val="32"/>
        </w:rPr>
        <w:t>2</w:t>
      </w:r>
      <w:r>
        <w:rPr>
          <w:rFonts w:hint="eastAsia" w:ascii="仿宋_GB2312" w:eastAsia="仿宋_GB2312" w:cs="黑体"/>
          <w:kern w:val="0"/>
          <w:sz w:val="32"/>
          <w:szCs w:val="32"/>
        </w:rPr>
        <w:t>、</w:t>
      </w:r>
      <w:r>
        <w:rPr>
          <w:rFonts w:hint="eastAsia" w:ascii="仿宋_GB2312" w:eastAsia="仿宋_GB2312" w:cs="楷体"/>
          <w:sz w:val="32"/>
          <w:szCs w:val="32"/>
        </w:rPr>
        <w:t>床位运营及建设补贴。</w:t>
      </w:r>
      <w:r>
        <w:rPr>
          <w:rFonts w:hint="eastAsia" w:ascii="仿宋_GB2312" w:eastAsia="仿宋_GB2312" w:cs="仿宋_GB2312"/>
          <w:kern w:val="0"/>
          <w:sz w:val="32"/>
          <w:szCs w:val="32"/>
        </w:rPr>
        <w:t>社区嵌入式微型养老服务机构（集居家、社区、机构养老为一体的综合体）除享受居家社区综合补贴外，同时享受自治区、市本级床位运营和建设补贴政策。</w:t>
      </w:r>
    </w:p>
    <w:p>
      <w:pPr>
        <w:adjustRightInd w:val="0"/>
        <w:snapToGrid w:val="0"/>
        <w:spacing w:line="640" w:lineRule="exact"/>
        <w:ind w:firstLine="640" w:firstLineChars="200"/>
        <w:rPr>
          <w:rFonts w:ascii="仿宋_GB2312" w:eastAsia="仿宋_GB2312" w:cs="仿宋_GB2312"/>
          <w:kern w:val="0"/>
          <w:sz w:val="32"/>
          <w:szCs w:val="32"/>
        </w:rPr>
      </w:pPr>
      <w:r>
        <w:rPr>
          <w:rFonts w:ascii="仿宋_GB2312" w:eastAsia="仿宋_GB2312" w:cs="黑体"/>
          <w:kern w:val="0"/>
          <w:sz w:val="32"/>
          <w:szCs w:val="32"/>
        </w:rPr>
        <w:t>3</w:t>
      </w:r>
      <w:r>
        <w:rPr>
          <w:rFonts w:hint="eastAsia" w:ascii="仿宋_GB2312" w:eastAsia="仿宋_GB2312" w:cs="黑体"/>
          <w:kern w:val="0"/>
          <w:sz w:val="32"/>
          <w:szCs w:val="32"/>
        </w:rPr>
        <w:t>、</w:t>
      </w:r>
      <w:r>
        <w:rPr>
          <w:rFonts w:hint="eastAsia" w:ascii="仿宋_GB2312" w:eastAsia="仿宋_GB2312" w:cs="楷体"/>
          <w:kern w:val="0"/>
          <w:sz w:val="32"/>
          <w:szCs w:val="32"/>
        </w:rPr>
        <w:t>家庭护理型养老床位综合运营补贴。养老机构、</w:t>
      </w:r>
      <w:r>
        <w:rPr>
          <w:rFonts w:hint="eastAsia" w:ascii="仿宋_GB2312" w:eastAsia="仿宋_GB2312" w:cs="仿宋_GB2312"/>
          <w:kern w:val="0"/>
          <w:sz w:val="32"/>
          <w:szCs w:val="32"/>
        </w:rPr>
        <w:t>居家和社区养老服务机构</w:t>
      </w:r>
      <w:r>
        <w:rPr>
          <w:rFonts w:hint="eastAsia" w:ascii="仿宋_GB2312" w:eastAsia="仿宋_GB2312" w:cs="楷体"/>
          <w:kern w:val="0"/>
          <w:sz w:val="32"/>
          <w:szCs w:val="32"/>
        </w:rPr>
        <w:t>为困难家庭</w:t>
      </w:r>
      <w:r>
        <w:rPr>
          <w:rFonts w:hint="eastAsia" w:ascii="仿宋_GB2312" w:eastAsia="仿宋_GB2312" w:cs="仿宋_GB2312"/>
          <w:kern w:val="0"/>
          <w:sz w:val="32"/>
          <w:szCs w:val="32"/>
        </w:rPr>
        <w:t>中度失能、重度失能失智老人提供上门服务的</w:t>
      </w:r>
      <w:r>
        <w:rPr>
          <w:rFonts w:hint="eastAsia" w:ascii="仿宋_GB2312" w:eastAsia="仿宋_GB2312" w:cs="楷体"/>
          <w:kern w:val="0"/>
          <w:sz w:val="32"/>
          <w:szCs w:val="32"/>
        </w:rPr>
        <w:t>，可比照入住养老机构老人享受市本级的养老机构床位运营补贴。</w:t>
      </w:r>
    </w:p>
    <w:p>
      <w:pPr>
        <w:adjustRightInd w:val="0"/>
        <w:snapToGrid w:val="0"/>
        <w:spacing w:line="640" w:lineRule="exact"/>
        <w:ind w:firstLine="640" w:firstLineChars="200"/>
        <w:rPr>
          <w:rFonts w:ascii="仿宋_GB2312" w:eastAsia="仿宋_GB2312"/>
          <w:color w:val="00000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、老年人供餐补贴。</w:t>
      </w:r>
      <w:r>
        <w:rPr>
          <w:rFonts w:hint="eastAsia" w:ascii="仿宋_GB2312" w:eastAsia="仿宋_GB2312"/>
          <w:color w:val="000000"/>
          <w:sz w:val="32"/>
          <w:szCs w:val="32"/>
        </w:rPr>
        <w:t>面向本市户籍</w:t>
      </w:r>
      <w:r>
        <w:rPr>
          <w:rFonts w:ascii="仿宋_GB2312" w:eastAsia="仿宋_GB2312"/>
          <w:color w:val="000000"/>
          <w:sz w:val="32"/>
          <w:szCs w:val="32"/>
        </w:rPr>
        <w:t>60</w:t>
      </w:r>
      <w:r>
        <w:rPr>
          <w:rFonts w:hint="eastAsia" w:ascii="仿宋_GB2312" w:eastAsia="仿宋_GB2312"/>
          <w:color w:val="000000"/>
          <w:sz w:val="32"/>
          <w:szCs w:val="32"/>
        </w:rPr>
        <w:t>周岁以上的</w:t>
      </w:r>
      <w:r>
        <w:rPr>
          <w:rFonts w:hint="eastAsia" w:ascii="仿宋_GB2312" w:eastAsia="仿宋_GB2312"/>
          <w:kern w:val="0"/>
          <w:sz w:val="32"/>
          <w:szCs w:val="32"/>
        </w:rPr>
        <w:t>城乡特困人员、重度</w:t>
      </w:r>
      <w:r>
        <w:rPr>
          <w:rFonts w:hint="eastAsia" w:ascii="仿宋_GB2312" w:eastAsia="仿宋_GB2312"/>
          <w:spacing w:val="4"/>
          <w:sz w:val="32"/>
          <w:szCs w:val="32"/>
        </w:rPr>
        <w:t>失能失智、中度失能失智、失独、空巢（留守）、</w:t>
      </w:r>
      <w:r>
        <w:rPr>
          <w:rFonts w:hint="eastAsia" w:ascii="仿宋_GB2312" w:eastAsia="仿宋_GB2312"/>
          <w:kern w:val="0"/>
          <w:sz w:val="32"/>
          <w:szCs w:val="32"/>
        </w:rPr>
        <w:t>低保及低保边缘、百岁等老年人</w:t>
      </w:r>
      <w:r>
        <w:rPr>
          <w:rFonts w:hint="eastAsia" w:ascii="仿宋_GB2312" w:eastAsia="仿宋_GB2312"/>
          <w:color w:val="000000"/>
          <w:sz w:val="32"/>
          <w:szCs w:val="32"/>
        </w:rPr>
        <w:t>给予助餐补贴，每天补助一餐，每餐补助</w:t>
      </w:r>
      <w:r>
        <w:rPr>
          <w:rFonts w:ascii="仿宋_GB2312" w:eastAsia="仿宋_GB2312"/>
          <w:color w:val="000000"/>
          <w:sz w:val="32"/>
          <w:szCs w:val="32"/>
        </w:rPr>
        <w:t>3</w:t>
      </w:r>
      <w:r>
        <w:rPr>
          <w:rFonts w:hint="eastAsia" w:ascii="仿宋_GB2312" w:eastAsia="仿宋_GB2312"/>
          <w:color w:val="000000"/>
          <w:sz w:val="32"/>
          <w:szCs w:val="32"/>
        </w:rPr>
        <w:t>元，每个供餐点结合年度考评结果每年最高补贴不超过</w:t>
      </w:r>
      <w:r>
        <w:rPr>
          <w:rFonts w:ascii="仿宋_GB2312" w:eastAsia="仿宋_GB2312"/>
          <w:color w:val="000000"/>
          <w:sz w:val="32"/>
          <w:szCs w:val="32"/>
        </w:rPr>
        <w:t>20</w:t>
      </w:r>
      <w:r>
        <w:rPr>
          <w:rFonts w:hint="eastAsia" w:ascii="仿宋_GB2312" w:eastAsia="仿宋_GB2312"/>
          <w:color w:val="000000"/>
          <w:sz w:val="32"/>
          <w:szCs w:val="32"/>
        </w:rPr>
        <w:t>万元。</w:t>
      </w:r>
    </w:p>
    <w:p>
      <w:pPr>
        <w:adjustRightInd w:val="0"/>
        <w:snapToGrid w:val="0"/>
        <w:spacing w:line="640" w:lineRule="exact"/>
        <w:ind w:firstLine="640" w:firstLineChars="200"/>
        <w:rPr>
          <w:rFonts w:ascii="仿宋_GB2312" w:eastAsia="仿宋_GB2312"/>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、建立褒扬机制。</w:t>
      </w:r>
      <w:r>
        <w:rPr>
          <w:rFonts w:hint="eastAsia" w:ascii="仿宋_GB2312" w:eastAsia="仿宋_GB2312"/>
          <w:sz w:val="32"/>
          <w:szCs w:val="32"/>
        </w:rPr>
        <w:t>通过政府购买服务的方式，由第三方社会组织每年对提供居家和社区养老服务的机构、社会组织进行评估。对服务质量评优的居家和社区养老机构、社会组织，给予</w:t>
      </w:r>
      <w:r>
        <w:rPr>
          <w:rFonts w:ascii="仿宋_GB2312" w:eastAsia="仿宋_GB2312"/>
          <w:sz w:val="32"/>
          <w:szCs w:val="32"/>
        </w:rPr>
        <w:t>1—5</w:t>
      </w:r>
      <w:r>
        <w:rPr>
          <w:rFonts w:hint="eastAsia" w:ascii="仿宋_GB2312" w:eastAsia="仿宋_GB2312"/>
          <w:sz w:val="32"/>
          <w:szCs w:val="32"/>
        </w:rPr>
        <w:t>万元的奖励。</w:t>
      </w:r>
    </w:p>
    <w:p>
      <w:pPr>
        <w:adjustRightInd w:val="0"/>
        <w:snapToGrid w:val="0"/>
        <w:spacing w:line="640" w:lineRule="exact"/>
        <w:ind w:firstLine="640" w:firstLineChars="200"/>
        <w:rPr>
          <w:rFonts w:ascii="仿宋_GB2312" w:eastAsia="仿宋_GB2312" w:cs="黑体"/>
          <w:kern w:val="0"/>
          <w:sz w:val="32"/>
          <w:szCs w:val="32"/>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、支持居家和社区养老服务平台建设。</w:t>
      </w:r>
      <w:r>
        <w:rPr>
          <w:rFonts w:hint="eastAsia" w:ascii="仿宋_GB2312" w:eastAsia="仿宋_GB2312" w:cs="黑体"/>
          <w:kern w:val="0"/>
          <w:sz w:val="32"/>
          <w:szCs w:val="32"/>
        </w:rPr>
        <w:t>每年给予</w:t>
      </w:r>
      <w:r>
        <w:rPr>
          <w:rFonts w:ascii="仿宋_GB2312" w:eastAsia="仿宋_GB2312" w:cs="黑体"/>
          <w:kern w:val="0"/>
          <w:sz w:val="32"/>
          <w:szCs w:val="32"/>
        </w:rPr>
        <w:t>12349</w:t>
      </w:r>
      <w:r>
        <w:rPr>
          <w:rFonts w:hint="eastAsia" w:ascii="仿宋_GB2312" w:eastAsia="仿宋_GB2312" w:cs="黑体"/>
          <w:kern w:val="0"/>
          <w:sz w:val="32"/>
          <w:szCs w:val="32"/>
        </w:rPr>
        <w:t>便民为老服务平台</w:t>
      </w:r>
      <w:r>
        <w:rPr>
          <w:rFonts w:ascii="仿宋_GB2312" w:eastAsia="仿宋_GB2312" w:cs="黑体"/>
          <w:kern w:val="0"/>
          <w:sz w:val="32"/>
          <w:szCs w:val="32"/>
        </w:rPr>
        <w:t>200</w:t>
      </w:r>
      <w:r>
        <w:rPr>
          <w:rFonts w:hint="eastAsia" w:ascii="仿宋_GB2312" w:eastAsia="仿宋_GB2312" w:cs="黑体"/>
          <w:kern w:val="0"/>
          <w:sz w:val="32"/>
          <w:szCs w:val="32"/>
        </w:rPr>
        <w:t>万元。</w:t>
      </w:r>
    </w:p>
    <w:p>
      <w:pPr>
        <w:adjustRightInd w:val="0"/>
        <w:snapToGrid w:val="0"/>
        <w:spacing w:line="640" w:lineRule="exact"/>
        <w:ind w:firstLine="640" w:firstLineChars="200"/>
        <w:rPr>
          <w:rFonts w:ascii="仿宋_GB2312" w:eastAsia="仿宋_GB2312" w:cs="黑体"/>
          <w:kern w:val="0"/>
          <w:sz w:val="32"/>
          <w:szCs w:val="32"/>
        </w:rPr>
      </w:pPr>
      <w:r>
        <w:rPr>
          <w:rFonts w:ascii="仿宋_GB2312" w:eastAsia="仿宋_GB2312" w:cs="黑体"/>
          <w:kern w:val="0"/>
          <w:sz w:val="32"/>
          <w:szCs w:val="32"/>
        </w:rPr>
        <w:t>7</w:t>
      </w:r>
      <w:r>
        <w:rPr>
          <w:rFonts w:hint="eastAsia" w:ascii="仿宋_GB2312" w:eastAsia="仿宋_GB2312" w:cs="黑体"/>
          <w:kern w:val="0"/>
          <w:sz w:val="32"/>
          <w:szCs w:val="32"/>
        </w:rPr>
        <w:t>、</w:t>
      </w:r>
      <w:r>
        <w:rPr>
          <w:rFonts w:hint="eastAsia" w:ascii="仿宋_GB2312" w:eastAsia="仿宋_GB2312"/>
          <w:sz w:val="32"/>
          <w:szCs w:val="32"/>
        </w:rPr>
        <w:t>各地区要将</w:t>
      </w:r>
      <w:r>
        <w:rPr>
          <w:rFonts w:hint="eastAsia" w:ascii="仿宋_GB2312" w:hAnsi="Times New Roman" w:eastAsia="仿宋_GB2312"/>
          <w:sz w:val="32"/>
          <w:szCs w:val="32"/>
        </w:rPr>
        <w:t>居家和社区服务中心运营补贴列入预算，每个老年人日间照料中心</w:t>
      </w:r>
      <w:r>
        <w:rPr>
          <w:rFonts w:ascii="仿宋_GB2312" w:hAnsi="Times New Roman" w:eastAsia="仿宋_GB2312"/>
          <w:sz w:val="32"/>
          <w:szCs w:val="32"/>
        </w:rPr>
        <w:t>3</w:t>
      </w:r>
      <w:r>
        <w:rPr>
          <w:rFonts w:hint="eastAsia" w:ascii="仿宋_GB2312" w:hAnsi="Times New Roman" w:eastAsia="仿宋_GB2312"/>
          <w:sz w:val="32"/>
          <w:szCs w:val="32"/>
        </w:rPr>
        <w:t>万元，每个养老服务站</w:t>
      </w:r>
      <w:r>
        <w:rPr>
          <w:rFonts w:ascii="仿宋_GB2312" w:hAnsi="Times New Roman" w:eastAsia="仿宋_GB2312"/>
          <w:sz w:val="32"/>
          <w:szCs w:val="32"/>
        </w:rPr>
        <w:t>2</w:t>
      </w:r>
      <w:r>
        <w:rPr>
          <w:rFonts w:hint="eastAsia" w:ascii="仿宋_GB2312" w:hAnsi="Times New Roman" w:eastAsia="仿宋_GB2312"/>
          <w:sz w:val="32"/>
          <w:szCs w:val="32"/>
        </w:rPr>
        <w:t>万元，用于补贴人员和水暖电等费用问题，确保可持续发展。</w:t>
      </w:r>
    </w:p>
    <w:p>
      <w:pPr>
        <w:widowControl/>
        <w:shd w:val="clear" w:color="auto" w:fill="FFFFFF"/>
        <w:adjustRightInd w:val="0"/>
        <w:snapToGrid w:val="0"/>
        <w:spacing w:line="640" w:lineRule="exact"/>
        <w:ind w:firstLine="640" w:firstLineChars="200"/>
        <w:rPr>
          <w:rFonts w:ascii="仿宋_GB2312" w:eastAsia="仿宋_GB2312"/>
          <w:sz w:val="32"/>
          <w:szCs w:val="32"/>
        </w:rPr>
      </w:pPr>
      <w:r>
        <w:rPr>
          <w:rFonts w:hint="eastAsia" w:ascii="楷体_GB2312" w:hAnsi="黑体" w:eastAsia="楷体_GB2312" w:cs="黑体"/>
          <w:sz w:val="32"/>
          <w:szCs w:val="32"/>
        </w:rPr>
        <w:t>（三）加强场地保障。</w:t>
      </w:r>
      <w:r>
        <w:rPr>
          <w:rFonts w:hint="eastAsia" w:ascii="仿宋_GB2312" w:eastAsia="仿宋_GB2312"/>
          <w:sz w:val="32"/>
          <w:szCs w:val="32"/>
        </w:rPr>
        <w:t>居家和社区养老服务用房（</w:t>
      </w:r>
      <w:r>
        <w:rPr>
          <w:rFonts w:hint="eastAsia" w:ascii="仿宋_GB2312" w:eastAsia="仿宋_GB2312" w:cs="楷体"/>
          <w:bCs/>
          <w:iCs/>
          <w:sz w:val="32"/>
          <w:szCs w:val="32"/>
        </w:rPr>
        <w:t>建设规模设定为1000平方米或500平方米两个标准,确无条件的老旧小区也要建成不低于350平方米的社区照料设施</w:t>
      </w:r>
      <w:r>
        <w:rPr>
          <w:rFonts w:hint="eastAsia" w:ascii="仿宋_GB2312" w:eastAsia="仿宋_GB2312"/>
          <w:sz w:val="32"/>
          <w:szCs w:val="32"/>
        </w:rPr>
        <w:t>）由辖区政府新建或调配公共服务设施无偿提供，民政部门负责统一调配管理，在不变更产权关系的前提下，可以通过招标、委托等方式，提供给养老服务专业服务组织使用，未经民政部门同意不得改变用途。</w:t>
      </w:r>
    </w:p>
    <w:p>
      <w:pPr>
        <w:widowControl/>
        <w:shd w:val="clear" w:color="auto" w:fill="FFFFFF"/>
        <w:adjustRightInd w:val="0"/>
        <w:snapToGrid w:val="0"/>
        <w:spacing w:line="640" w:lineRule="exact"/>
        <w:ind w:firstLine="640" w:firstLineChars="200"/>
        <w:rPr>
          <w:rFonts w:ascii="仿宋_GB2312" w:hAnsi="微软雅黑" w:eastAsia="仿宋_GB2312" w:cs="宋体"/>
          <w:spacing w:val="8"/>
          <w:kern w:val="0"/>
          <w:sz w:val="32"/>
          <w:szCs w:val="32"/>
        </w:rPr>
      </w:pPr>
      <w:r>
        <w:rPr>
          <w:rFonts w:ascii="楷体_GB2312" w:eastAsia="楷体_GB2312" w:cs="????_GBK"/>
          <w:sz w:val="32"/>
          <w:szCs w:val="32"/>
        </w:rPr>
        <w:t>1</w:t>
      </w:r>
      <w:r>
        <w:rPr>
          <w:rFonts w:hint="eastAsia" w:ascii="楷体_GB2312" w:eastAsia="楷体_GB2312" w:cs="????_GBK"/>
          <w:sz w:val="32"/>
          <w:szCs w:val="32"/>
        </w:rPr>
        <w:t>、</w:t>
      </w:r>
      <w:r>
        <w:rPr>
          <w:rFonts w:hint="eastAsia" w:ascii="仿宋_GB2312" w:hAnsi="微软雅黑" w:eastAsia="仿宋_GB2312" w:cs="宋体"/>
          <w:spacing w:val="8"/>
          <w:kern w:val="0"/>
          <w:sz w:val="32"/>
          <w:szCs w:val="32"/>
        </w:rPr>
        <w:t>新建居住（小）区，要按标准配套养老服务设施，与住宅同步规划、同步建设、同步验收、同步交付使用。明确民政部门在“四同步”中的职责。对已交付产权人的养老服务设施由民政部门履行监管职责，确保养老服务用途。对存在配套养老服务设施缓建、缩建、停建、不建和建而不交等问题的，在整改到位之前建设单位不得组织竣工验收。</w:t>
      </w:r>
    </w:p>
    <w:p>
      <w:pPr>
        <w:widowControl/>
        <w:shd w:val="clear" w:color="auto" w:fill="FFFFFF"/>
        <w:adjustRightInd w:val="0"/>
        <w:snapToGrid w:val="0"/>
        <w:spacing w:line="640" w:lineRule="exact"/>
        <w:ind w:firstLine="640" w:firstLineChars="200"/>
        <w:rPr>
          <w:rFonts w:ascii="仿宋_GB2312" w:eastAsia="仿宋_GB2312" w:cs="????_GBK"/>
          <w:sz w:val="32"/>
          <w:szCs w:val="32"/>
        </w:rPr>
      </w:pPr>
      <w:r>
        <w:rPr>
          <w:rFonts w:hint="eastAsia" w:ascii="仿宋_GB2312" w:hAnsi="Times New Roman" w:eastAsia="仿宋_GB2312"/>
          <w:sz w:val="32"/>
          <w:szCs w:val="32"/>
        </w:rPr>
        <w:t>2、老城区和已建成居住（小）区无养老服务设施、</w:t>
      </w:r>
      <w:r>
        <w:rPr>
          <w:rFonts w:hint="eastAsia" w:ascii="仿宋_GB2312" w:hAnsi="黑体" w:eastAsia="仿宋_GB2312"/>
          <w:sz w:val="32"/>
          <w:szCs w:val="32"/>
        </w:rPr>
        <w:t>现有设施没有达到建设指标或不具备建设居家社区综合服务中心条件的社区，原则上要建成不低于350平方米（包括同区域多点服务网点）的社区养老服务设施，其居家养老服务能力由周边综合养老服务中心提供。</w:t>
      </w:r>
      <w:r>
        <w:rPr>
          <w:rFonts w:hint="eastAsia" w:ascii="仿宋_GB2312" w:eastAsia="仿宋_GB2312" w:cs="????_GBK"/>
          <w:sz w:val="32"/>
          <w:szCs w:val="32"/>
        </w:rPr>
        <w:t>各地区</w:t>
      </w:r>
      <w:r>
        <w:rPr>
          <w:rFonts w:hint="eastAsia" w:ascii="仿宋_GB2312" w:hAnsi="Times New Roman" w:eastAsia="仿宋_GB2312"/>
          <w:sz w:val="32"/>
          <w:szCs w:val="32"/>
        </w:rPr>
        <w:t>要组织相关部门限期整改，通过购置、置换、租赁等方式开辟养老服务设施</w:t>
      </w:r>
      <w:r>
        <w:rPr>
          <w:rFonts w:hint="eastAsia" w:ascii="仿宋_GB2312" w:eastAsia="仿宋_GB2312" w:cs="????_GBK"/>
          <w:sz w:val="32"/>
          <w:szCs w:val="32"/>
        </w:rPr>
        <w:t>或整合公共服务设施开展养老服务，</w:t>
      </w:r>
      <w:r>
        <w:rPr>
          <w:rFonts w:hint="eastAsia" w:ascii="仿宋_GB2312" w:hAnsi="Times New Roman" w:eastAsia="仿宋_GB2312"/>
          <w:sz w:val="32"/>
          <w:szCs w:val="32"/>
        </w:rPr>
        <w:t>不得挪作它用。</w:t>
      </w:r>
    </w:p>
    <w:p>
      <w:pPr>
        <w:pStyle w:val="5"/>
        <w:shd w:val="clear" w:color="auto" w:fill="FFFFFF"/>
        <w:adjustRightInd w:val="0"/>
        <w:snapToGrid w:val="0"/>
        <w:spacing w:before="0" w:beforeAutospacing="0" w:after="0" w:afterAutospacing="0" w:line="640" w:lineRule="exact"/>
        <w:ind w:firstLine="640" w:firstLineChars="200"/>
        <w:jc w:val="both"/>
        <w:rPr>
          <w:rFonts w:ascii="仿宋_GB2312" w:hAnsi="黑体" w:eastAsia="仿宋_GB2312" w:cs="黑体"/>
          <w:sz w:val="32"/>
          <w:szCs w:val="32"/>
        </w:rPr>
      </w:pPr>
      <w:r>
        <w:rPr>
          <w:rFonts w:hint="eastAsia" w:ascii="楷体_GB2312" w:hAnsi="黑体" w:eastAsia="楷体_GB2312" w:cs="黑体"/>
          <w:sz w:val="32"/>
          <w:szCs w:val="32"/>
        </w:rPr>
        <w:t>（四）落实税费减免政策。</w:t>
      </w:r>
      <w:r>
        <w:rPr>
          <w:rFonts w:hint="eastAsia" w:ascii="仿宋_GB2312" w:hAnsi="黑体" w:eastAsia="仿宋_GB2312" w:cs="黑体"/>
          <w:sz w:val="32"/>
          <w:szCs w:val="32"/>
        </w:rPr>
        <w:t>建成并运营的居家社区养老服务场所，可按照《国务院办公厅关于推进养老服务发展意见》（国办发[2019]5号）等相关规定，享受相应的税费减免优惠政策，其用电、用水、用热、用气等费用按居民价格执行。</w:t>
      </w:r>
    </w:p>
    <w:p>
      <w:pPr>
        <w:pStyle w:val="5"/>
        <w:shd w:val="clear" w:color="auto" w:fill="FFFFFF"/>
        <w:adjustRightInd w:val="0"/>
        <w:snapToGrid w:val="0"/>
        <w:spacing w:before="0" w:beforeAutospacing="0" w:after="0" w:afterAutospacing="0" w:line="640" w:lineRule="exact"/>
        <w:ind w:firstLine="640" w:firstLineChars="200"/>
        <w:jc w:val="both"/>
        <w:rPr>
          <w:rFonts w:ascii="仿宋_GB2312" w:hAnsi="黑体" w:eastAsia="仿宋_GB2312" w:cs="黑体"/>
          <w:sz w:val="32"/>
          <w:szCs w:val="32"/>
        </w:rPr>
      </w:pPr>
      <w:r>
        <w:rPr>
          <w:rFonts w:hint="eastAsia" w:ascii="楷体_GB2312" w:hAnsi="黑体" w:eastAsia="楷体_GB2312" w:cs="黑体"/>
          <w:sz w:val="32"/>
          <w:szCs w:val="32"/>
        </w:rPr>
        <w:t>（五）加大购买服务。</w:t>
      </w:r>
      <w:r>
        <w:rPr>
          <w:rFonts w:hint="eastAsia" w:ascii="仿宋_GB2312" w:hAnsi="黑体" w:eastAsia="仿宋_GB2312" w:cs="黑体"/>
          <w:sz w:val="32"/>
          <w:szCs w:val="32"/>
        </w:rPr>
        <w:t>多措并举，增加政府购买养老服务项目及购买额度，充分调动社会组织的积极性，采取“三社联动”的方式提升居家社区养老服务能力。</w:t>
      </w: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hAnsi="黑体" w:eastAsia="仿宋_GB2312" w:cs="黑体"/>
          <w:sz w:val="32"/>
          <w:szCs w:val="32"/>
        </w:rPr>
      </w:pPr>
      <w:r>
        <w:rPr>
          <w:rFonts w:hint="eastAsia" w:ascii="楷体_GB2312" w:hAnsi="黑体" w:eastAsia="楷体_GB2312" w:cs="黑体"/>
          <w:sz w:val="32"/>
          <w:szCs w:val="32"/>
        </w:rPr>
        <w:t>（六）倡导志愿服务。</w:t>
      </w:r>
      <w:r>
        <w:rPr>
          <w:rFonts w:hint="eastAsia" w:ascii="仿宋_GB2312" w:hAnsi="黑体" w:eastAsia="仿宋_GB2312" w:cs="黑体"/>
          <w:sz w:val="32"/>
          <w:szCs w:val="32"/>
        </w:rPr>
        <w:t>在全社会鼓励社会公益组织和企业开展养老服务，倡导采取“社工+义工”的模式开展居家社区志愿者为老服务。</w:t>
      </w: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hAnsi="黑体" w:eastAsia="仿宋_GB2312" w:cs="黑体"/>
          <w:sz w:val="32"/>
          <w:szCs w:val="32"/>
        </w:rPr>
      </w:pPr>
    </w:p>
    <w:p>
      <w:pPr>
        <w:pStyle w:val="5"/>
        <w:shd w:val="clear" w:color="auto" w:fill="FFFFFF"/>
        <w:adjustRightInd w:val="0"/>
        <w:snapToGrid w:val="0"/>
        <w:spacing w:before="0" w:beforeAutospacing="0" w:after="0" w:afterAutospacing="0" w:line="640" w:lineRule="exact"/>
        <w:ind w:left="1540" w:hanging="1540" w:hangingChars="350"/>
        <w:jc w:val="both"/>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仿宋_GB2312" w:eastAsia="仿宋_GB2312"/>
          <w:sz w:val="32"/>
          <w:szCs w:val="32"/>
        </w:rPr>
        <w:t xml:space="preserve">  附件：包头市居家和社区养老服务改革试点工作领导小组</w:t>
      </w:r>
    </w:p>
    <w:p>
      <w:pPr>
        <w:pStyle w:val="5"/>
        <w:shd w:val="clear" w:color="auto" w:fill="FFFFFF"/>
        <w:adjustRightInd w:val="0"/>
        <w:snapToGrid w:val="0"/>
        <w:spacing w:before="0" w:beforeAutospacing="0" w:after="0" w:afterAutospacing="0" w:line="640" w:lineRule="exact"/>
        <w:ind w:firstLine="640" w:firstLineChars="200"/>
        <w:jc w:val="both"/>
        <w:rPr>
          <w:rFonts w:ascii="仿宋_GB2312" w:hAnsi="黑体" w:eastAsia="仿宋_GB2312" w:cs="黑体"/>
          <w:sz w:val="32"/>
          <w:szCs w:val="32"/>
        </w:rPr>
      </w:pP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eastAsia="仿宋_GB2312"/>
          <w:sz w:val="32"/>
          <w:szCs w:val="32"/>
        </w:rPr>
      </w:pP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eastAsia="仿宋_GB2312"/>
          <w:sz w:val="32"/>
          <w:szCs w:val="32"/>
        </w:rPr>
      </w:pP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eastAsia="仿宋_GB2312"/>
          <w:sz w:val="32"/>
          <w:szCs w:val="32"/>
        </w:rPr>
      </w:pP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eastAsia="仿宋_GB2312"/>
          <w:sz w:val="32"/>
          <w:szCs w:val="32"/>
        </w:rPr>
      </w:pP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eastAsia="仿宋_GB2312"/>
          <w:sz w:val="32"/>
          <w:szCs w:val="32"/>
        </w:rPr>
      </w:pP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eastAsia="仿宋_GB2312"/>
          <w:sz w:val="32"/>
          <w:szCs w:val="32"/>
        </w:rPr>
      </w:pP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eastAsia="仿宋_GB2312"/>
          <w:sz w:val="32"/>
          <w:szCs w:val="32"/>
        </w:rPr>
      </w:pP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eastAsia="仿宋_GB2312"/>
          <w:sz w:val="32"/>
          <w:szCs w:val="32"/>
        </w:rPr>
      </w:pP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eastAsia="仿宋_GB2312"/>
          <w:sz w:val="32"/>
          <w:szCs w:val="32"/>
        </w:rPr>
      </w:pP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eastAsia="仿宋_GB2312"/>
          <w:sz w:val="32"/>
          <w:szCs w:val="32"/>
        </w:rPr>
      </w:pP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eastAsia="仿宋_GB2312"/>
          <w:sz w:val="32"/>
          <w:szCs w:val="32"/>
        </w:rPr>
      </w:pP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eastAsia="仿宋_GB2312"/>
          <w:sz w:val="32"/>
          <w:szCs w:val="32"/>
        </w:rPr>
      </w:pP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eastAsia="仿宋_GB2312"/>
          <w:sz w:val="32"/>
          <w:szCs w:val="32"/>
        </w:rPr>
      </w:pP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eastAsia="仿宋_GB2312"/>
          <w:sz w:val="32"/>
          <w:szCs w:val="32"/>
        </w:rPr>
      </w:pPr>
    </w:p>
    <w:p>
      <w:pPr>
        <w:pStyle w:val="5"/>
        <w:shd w:val="clear" w:color="auto" w:fill="FFFFFF"/>
        <w:adjustRightInd w:val="0"/>
        <w:snapToGrid w:val="0"/>
        <w:spacing w:before="0" w:beforeAutospacing="0" w:after="0" w:afterAutospacing="0" w:line="640" w:lineRule="exact"/>
        <w:ind w:firstLine="640" w:firstLineChars="200"/>
        <w:jc w:val="both"/>
        <w:rPr>
          <w:rFonts w:hint="eastAsia" w:ascii="仿宋_GB2312" w:eastAsia="仿宋_GB2312"/>
          <w:sz w:val="32"/>
          <w:szCs w:val="32"/>
        </w:rPr>
      </w:pPr>
    </w:p>
    <w:p>
      <w:pPr>
        <w:pStyle w:val="5"/>
        <w:shd w:val="clear" w:color="auto" w:fill="FFFFFF"/>
        <w:adjustRightInd w:val="0"/>
        <w:snapToGrid w:val="0"/>
        <w:spacing w:before="0" w:beforeAutospacing="0" w:after="0" w:afterAutospacing="0" w:line="640" w:lineRule="exact"/>
        <w:ind w:firstLine="640" w:firstLineChars="200"/>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center"/>
        <w:rPr>
          <w:rFonts w:ascii="方正小标宋简体" w:eastAsia="方正小标宋简体"/>
          <w:sz w:val="44"/>
          <w:szCs w:val="44"/>
        </w:rPr>
      </w:pPr>
      <w:r>
        <w:rPr>
          <w:rFonts w:hint="eastAsia" w:ascii="方正小标宋简体" w:eastAsia="方正小标宋简体"/>
          <w:sz w:val="44"/>
          <w:szCs w:val="44"/>
        </w:rPr>
        <w:t>包头市居家和社区养老服务改革试点工作领导小组</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hint="eastAsia" w:ascii="仿宋_GB2312" w:eastAsia="仿宋_GB2312"/>
          <w:sz w:val="32"/>
          <w:szCs w:val="32"/>
        </w:rPr>
        <w:t>组</w:t>
      </w:r>
      <w:r>
        <w:rPr>
          <w:rFonts w:ascii="仿宋_GB2312" w:eastAsia="仿宋_GB2312"/>
          <w:sz w:val="32"/>
          <w:szCs w:val="32"/>
        </w:rPr>
        <w:t xml:space="preserve">  </w:t>
      </w:r>
      <w:r>
        <w:rPr>
          <w:rFonts w:hint="eastAsia" w:ascii="仿宋_GB2312" w:eastAsia="仿宋_GB2312"/>
          <w:sz w:val="32"/>
          <w:szCs w:val="32"/>
        </w:rPr>
        <w:t>长：赵江涛</w:t>
      </w:r>
      <w:r>
        <w:rPr>
          <w:rFonts w:ascii="仿宋_GB2312" w:eastAsia="仿宋_GB2312"/>
          <w:sz w:val="32"/>
          <w:szCs w:val="32"/>
        </w:rPr>
        <w:t xml:space="preserve">  </w:t>
      </w:r>
      <w:r>
        <w:rPr>
          <w:rFonts w:hint="eastAsia" w:ascii="仿宋_GB2312" w:eastAsia="仿宋_GB2312"/>
          <w:sz w:val="32"/>
          <w:szCs w:val="32"/>
        </w:rPr>
        <w:t>市长</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hint="eastAsia" w:ascii="仿宋_GB2312" w:eastAsia="仿宋_GB2312"/>
          <w:sz w:val="32"/>
          <w:szCs w:val="32"/>
        </w:rPr>
        <w:t>副组长：王秀莲</w:t>
      </w:r>
      <w:r>
        <w:rPr>
          <w:rFonts w:ascii="仿宋_GB2312" w:eastAsia="仿宋_GB2312"/>
          <w:sz w:val="32"/>
          <w:szCs w:val="32"/>
        </w:rPr>
        <w:t xml:space="preserve">  </w:t>
      </w:r>
      <w:r>
        <w:rPr>
          <w:rFonts w:hint="eastAsia" w:ascii="仿宋_GB2312" w:eastAsia="仿宋_GB2312"/>
          <w:sz w:val="32"/>
          <w:szCs w:val="32"/>
        </w:rPr>
        <w:t>副市长</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hint="eastAsia" w:ascii="仿宋_GB2312" w:eastAsia="仿宋_GB2312"/>
          <w:sz w:val="32"/>
          <w:szCs w:val="32"/>
        </w:rPr>
        <w:t>成</w:t>
      </w:r>
      <w:r>
        <w:rPr>
          <w:rFonts w:ascii="仿宋_GB2312" w:eastAsia="仿宋_GB2312"/>
          <w:sz w:val="32"/>
          <w:szCs w:val="32"/>
        </w:rPr>
        <w:t xml:space="preserve">  </w:t>
      </w:r>
      <w:r>
        <w:rPr>
          <w:rFonts w:hint="eastAsia" w:ascii="仿宋_GB2312" w:eastAsia="仿宋_GB2312"/>
          <w:sz w:val="32"/>
          <w:szCs w:val="32"/>
        </w:rPr>
        <w:t>员：邬军军</w:t>
      </w:r>
      <w:r>
        <w:rPr>
          <w:rFonts w:ascii="仿宋_GB2312" w:eastAsia="仿宋_GB2312"/>
          <w:sz w:val="32"/>
          <w:szCs w:val="32"/>
        </w:rPr>
        <w:t xml:space="preserve">  </w:t>
      </w:r>
      <w:r>
        <w:rPr>
          <w:rFonts w:hint="eastAsia" w:ascii="仿宋_GB2312" w:eastAsia="仿宋_GB2312"/>
          <w:sz w:val="32"/>
          <w:szCs w:val="32"/>
        </w:rPr>
        <w:t>稀土高新区管委会主任</w:t>
      </w:r>
    </w:p>
    <w:p>
      <w:pPr>
        <w:pStyle w:val="5"/>
        <w:shd w:val="clear" w:color="auto" w:fill="FFFFFF"/>
        <w:adjustRightInd w:val="0"/>
        <w:snapToGrid w:val="0"/>
        <w:spacing w:before="0" w:beforeAutospacing="0" w:after="0" w:afterAutospacing="0" w:line="640" w:lineRule="exact"/>
        <w:ind w:firstLine="1280" w:firstLineChars="400"/>
        <w:jc w:val="both"/>
        <w:rPr>
          <w:rFonts w:ascii="仿宋_GB2312" w:eastAsia="仿宋_GB2312"/>
          <w:sz w:val="32"/>
          <w:szCs w:val="32"/>
        </w:rPr>
      </w:pPr>
      <w:r>
        <w:rPr>
          <w:rFonts w:hint="eastAsia" w:ascii="仿宋_GB2312" w:eastAsia="仿宋_GB2312"/>
          <w:sz w:val="32"/>
          <w:szCs w:val="32"/>
        </w:rPr>
        <w:t>丁  凯   昆区区委副书记、代区长</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李文霞</w:t>
      </w:r>
      <w:r>
        <w:rPr>
          <w:rFonts w:ascii="仿宋_GB2312" w:eastAsia="仿宋_GB2312"/>
          <w:sz w:val="32"/>
          <w:szCs w:val="32"/>
        </w:rPr>
        <w:t xml:space="preserve">  </w:t>
      </w:r>
      <w:r>
        <w:rPr>
          <w:rFonts w:hint="eastAsia" w:ascii="仿宋_GB2312" w:eastAsia="仿宋_GB2312"/>
          <w:sz w:val="32"/>
          <w:szCs w:val="32"/>
        </w:rPr>
        <w:t>青山区副区长</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贾保良  东河区委副书记、区长</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李少强</w:t>
      </w:r>
      <w:r>
        <w:rPr>
          <w:rFonts w:ascii="仿宋_GB2312" w:eastAsia="仿宋_GB2312"/>
          <w:sz w:val="32"/>
          <w:szCs w:val="32"/>
        </w:rPr>
        <w:t xml:space="preserve">  </w:t>
      </w:r>
      <w:r>
        <w:rPr>
          <w:rFonts w:hint="eastAsia" w:ascii="仿宋_GB2312" w:eastAsia="仿宋_GB2312"/>
          <w:sz w:val="32"/>
          <w:szCs w:val="32"/>
        </w:rPr>
        <w:t>九原区委副书记、区长</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李新春</w:t>
      </w:r>
      <w:r>
        <w:rPr>
          <w:rFonts w:ascii="仿宋_GB2312" w:eastAsia="仿宋_GB2312"/>
          <w:sz w:val="32"/>
          <w:szCs w:val="32"/>
        </w:rPr>
        <w:t xml:space="preserve"> </w:t>
      </w:r>
      <w:r>
        <w:rPr>
          <w:rFonts w:hint="eastAsia" w:ascii="仿宋_GB2312" w:eastAsia="仿宋_GB2312"/>
          <w:sz w:val="32"/>
          <w:szCs w:val="32"/>
        </w:rPr>
        <w:t xml:space="preserve"> 石拐区委副书记、区长</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黄  敏</w:t>
      </w:r>
      <w:r>
        <w:rPr>
          <w:rFonts w:ascii="仿宋_GB2312" w:eastAsia="仿宋_GB2312"/>
          <w:sz w:val="32"/>
          <w:szCs w:val="32"/>
        </w:rPr>
        <w:t xml:space="preserve">  </w:t>
      </w:r>
      <w:r>
        <w:rPr>
          <w:rFonts w:hint="eastAsia" w:ascii="仿宋_GB2312" w:eastAsia="仿宋_GB2312"/>
          <w:sz w:val="32"/>
          <w:szCs w:val="32"/>
        </w:rPr>
        <w:t>白云矿区区委副书记、区长</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金永丽</w:t>
      </w:r>
      <w:r>
        <w:rPr>
          <w:rFonts w:ascii="仿宋_GB2312" w:eastAsia="仿宋_GB2312"/>
          <w:sz w:val="32"/>
          <w:szCs w:val="32"/>
        </w:rPr>
        <w:t xml:space="preserve">  </w:t>
      </w:r>
      <w:r>
        <w:rPr>
          <w:rFonts w:hint="eastAsia" w:ascii="仿宋_GB2312" w:eastAsia="仿宋_GB2312"/>
          <w:sz w:val="32"/>
          <w:szCs w:val="32"/>
        </w:rPr>
        <w:t>土右旗委副书记、旗长</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刘海泉</w:t>
      </w:r>
      <w:r>
        <w:rPr>
          <w:rFonts w:ascii="仿宋_GB2312" w:eastAsia="仿宋_GB2312"/>
          <w:sz w:val="32"/>
          <w:szCs w:val="32"/>
        </w:rPr>
        <w:t xml:space="preserve">  </w:t>
      </w:r>
      <w:r>
        <w:rPr>
          <w:rFonts w:hint="eastAsia" w:ascii="仿宋_GB2312" w:eastAsia="仿宋_GB2312"/>
          <w:sz w:val="32"/>
          <w:szCs w:val="32"/>
        </w:rPr>
        <w:t>达茂旗委副书记、旗长</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杨二喜</w:t>
      </w:r>
      <w:r>
        <w:rPr>
          <w:rFonts w:ascii="仿宋_GB2312" w:eastAsia="仿宋_GB2312"/>
          <w:sz w:val="32"/>
          <w:szCs w:val="32"/>
        </w:rPr>
        <w:t xml:space="preserve">  </w:t>
      </w:r>
      <w:r>
        <w:rPr>
          <w:rFonts w:hint="eastAsia" w:ascii="仿宋_GB2312" w:eastAsia="仿宋_GB2312"/>
          <w:sz w:val="32"/>
          <w:szCs w:val="32"/>
        </w:rPr>
        <w:t>固阳县委副书记、县长</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雷殿军</w:t>
      </w:r>
      <w:r>
        <w:rPr>
          <w:rFonts w:ascii="仿宋_GB2312" w:eastAsia="仿宋_GB2312"/>
          <w:sz w:val="32"/>
          <w:szCs w:val="32"/>
        </w:rPr>
        <w:t xml:space="preserve">  </w:t>
      </w:r>
      <w:r>
        <w:rPr>
          <w:rFonts w:hint="eastAsia" w:ascii="仿宋_GB2312" w:eastAsia="仿宋_GB2312"/>
          <w:sz w:val="32"/>
          <w:szCs w:val="32"/>
        </w:rPr>
        <w:t>市发改委主任</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hint="eastAsia" w:ascii="仿宋_GB2312" w:eastAsia="仿宋_GB2312"/>
          <w:sz w:val="32"/>
          <w:szCs w:val="32"/>
        </w:rPr>
        <w:t xml:space="preserve">        康世存</w:t>
      </w:r>
      <w:r>
        <w:rPr>
          <w:rFonts w:ascii="仿宋_GB2312" w:eastAsia="仿宋_GB2312"/>
          <w:sz w:val="32"/>
          <w:szCs w:val="32"/>
        </w:rPr>
        <w:t xml:space="preserve">  </w:t>
      </w:r>
      <w:r>
        <w:rPr>
          <w:rFonts w:hint="eastAsia" w:ascii="仿宋_GB2312" w:eastAsia="仿宋_GB2312"/>
          <w:sz w:val="32"/>
          <w:szCs w:val="32"/>
        </w:rPr>
        <w:t>市工信局局长</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hint="eastAsia" w:ascii="仿宋_GB2312" w:eastAsia="仿宋_GB2312"/>
          <w:sz w:val="32"/>
          <w:szCs w:val="32"/>
        </w:rPr>
        <w:t xml:space="preserve">        刘丽萍  市民政局局长</w:t>
      </w:r>
    </w:p>
    <w:p>
      <w:pPr>
        <w:pStyle w:val="5"/>
        <w:shd w:val="clear" w:color="auto" w:fill="FFFFFF"/>
        <w:adjustRightInd w:val="0"/>
        <w:snapToGrid w:val="0"/>
        <w:spacing w:before="0" w:beforeAutospacing="0" w:after="0" w:afterAutospacing="0" w:line="640" w:lineRule="exact"/>
        <w:ind w:firstLine="1280" w:firstLineChars="400"/>
        <w:jc w:val="both"/>
        <w:rPr>
          <w:rFonts w:ascii="仿宋_GB2312" w:eastAsia="仿宋_GB2312"/>
          <w:sz w:val="32"/>
          <w:szCs w:val="32"/>
        </w:rPr>
      </w:pPr>
      <w:r>
        <w:rPr>
          <w:rFonts w:hint="eastAsia" w:ascii="仿宋_GB2312" w:eastAsia="仿宋_GB2312"/>
          <w:sz w:val="32"/>
          <w:szCs w:val="32"/>
        </w:rPr>
        <w:t>姚俊杰  市财政局局长</w:t>
      </w:r>
    </w:p>
    <w:p>
      <w:pPr>
        <w:pStyle w:val="5"/>
        <w:shd w:val="clear" w:color="auto" w:fill="FFFFFF"/>
        <w:adjustRightInd w:val="0"/>
        <w:snapToGrid w:val="0"/>
        <w:spacing w:before="0" w:beforeAutospacing="0" w:after="0" w:afterAutospacing="0" w:line="640" w:lineRule="exact"/>
        <w:ind w:firstLine="1280" w:firstLineChars="400"/>
        <w:jc w:val="both"/>
        <w:rPr>
          <w:rFonts w:ascii="仿宋_GB2312" w:eastAsia="仿宋_GB2312"/>
          <w:sz w:val="32"/>
          <w:szCs w:val="32"/>
        </w:rPr>
      </w:pPr>
      <w:r>
        <w:rPr>
          <w:rFonts w:hint="eastAsia" w:ascii="仿宋_GB2312" w:eastAsia="仿宋_GB2312"/>
          <w:sz w:val="32"/>
          <w:szCs w:val="32"/>
        </w:rPr>
        <w:t>李新亮  市人社局局长</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李兰维</w:t>
      </w:r>
      <w:r>
        <w:rPr>
          <w:rFonts w:ascii="仿宋_GB2312" w:eastAsia="仿宋_GB2312"/>
          <w:sz w:val="32"/>
          <w:szCs w:val="32"/>
        </w:rPr>
        <w:t xml:space="preserve">  </w:t>
      </w:r>
      <w:r>
        <w:rPr>
          <w:rFonts w:hint="eastAsia" w:ascii="仿宋_GB2312" w:eastAsia="仿宋_GB2312"/>
          <w:sz w:val="32"/>
          <w:szCs w:val="32"/>
        </w:rPr>
        <w:t>市自然资源局局长</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吕惠斌</w:t>
      </w:r>
      <w:r>
        <w:rPr>
          <w:rFonts w:ascii="仿宋_GB2312" w:eastAsia="仿宋_GB2312"/>
          <w:sz w:val="32"/>
          <w:szCs w:val="32"/>
        </w:rPr>
        <w:t xml:space="preserve">  </w:t>
      </w:r>
      <w:r>
        <w:rPr>
          <w:rFonts w:hint="eastAsia" w:ascii="仿宋_GB2312" w:eastAsia="仿宋_GB2312"/>
          <w:sz w:val="32"/>
          <w:szCs w:val="32"/>
        </w:rPr>
        <w:t>市住建局局长</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孙志刚  市卫健委主任</w:t>
      </w:r>
    </w:p>
    <w:p>
      <w:pPr>
        <w:pStyle w:val="5"/>
        <w:shd w:val="clear" w:color="auto" w:fill="FFFFFF"/>
        <w:adjustRightInd w:val="0"/>
        <w:snapToGrid w:val="0"/>
        <w:spacing w:before="0" w:beforeAutospacing="0" w:after="0" w:afterAutospacing="0" w:line="640" w:lineRule="exact"/>
        <w:ind w:firstLine="640" w:firstLineChars="200"/>
        <w:jc w:val="both"/>
        <w:rPr>
          <w:rFonts w:ascii="仿宋_GB2312" w:eastAsia="仿宋_GB2312"/>
          <w:sz w:val="32"/>
          <w:szCs w:val="32"/>
        </w:rPr>
      </w:pPr>
      <w:r>
        <w:rPr>
          <w:rFonts w:hint="eastAsia" w:ascii="仿宋_GB2312" w:eastAsia="仿宋_GB2312"/>
          <w:sz w:val="32"/>
          <w:szCs w:val="32"/>
        </w:rPr>
        <w:t>领导小组办公室设在市民政局，办公室主任由市民政局局长刘丽萍兼任。办公室负责领导小组的日常工作，协调各地区、部门共同做好居家和社区养老工作，督促检查居家和社区养服务工作任务落实具体实务。</w:t>
      </w:r>
      <w:r>
        <w:rPr>
          <w:rFonts w:ascii="仿宋_GB2312" w:eastAsia="仿宋_GB2312"/>
          <w:sz w:val="32"/>
          <w:szCs w:val="32"/>
        </w:rPr>
        <w:t xml:space="preserve"> </w:t>
      </w: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p>
      <w:pPr>
        <w:pStyle w:val="5"/>
        <w:shd w:val="clear" w:color="auto" w:fill="FFFFFF"/>
        <w:adjustRightInd w:val="0"/>
        <w:snapToGrid w:val="0"/>
        <w:spacing w:before="0" w:beforeAutospacing="0" w:after="0" w:afterAutospacing="0" w:line="640" w:lineRule="exact"/>
        <w:jc w:val="both"/>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13</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1AD"/>
    <w:rsid w:val="00012618"/>
    <w:rsid w:val="00012AE4"/>
    <w:rsid w:val="00013055"/>
    <w:rsid w:val="00020289"/>
    <w:rsid w:val="00040B76"/>
    <w:rsid w:val="00076B1B"/>
    <w:rsid w:val="0008051C"/>
    <w:rsid w:val="00097A2E"/>
    <w:rsid w:val="000A0FCE"/>
    <w:rsid w:val="000A7CC5"/>
    <w:rsid w:val="000A7E07"/>
    <w:rsid w:val="000A7EA3"/>
    <w:rsid w:val="000B3515"/>
    <w:rsid w:val="000B5952"/>
    <w:rsid w:val="000C4376"/>
    <w:rsid w:val="001036F1"/>
    <w:rsid w:val="00106998"/>
    <w:rsid w:val="00112880"/>
    <w:rsid w:val="00133EA3"/>
    <w:rsid w:val="00140C15"/>
    <w:rsid w:val="001546CB"/>
    <w:rsid w:val="001611CC"/>
    <w:rsid w:val="001645AD"/>
    <w:rsid w:val="0016709D"/>
    <w:rsid w:val="001713E4"/>
    <w:rsid w:val="00171C2F"/>
    <w:rsid w:val="00186364"/>
    <w:rsid w:val="00195BD7"/>
    <w:rsid w:val="001A4858"/>
    <w:rsid w:val="001B2904"/>
    <w:rsid w:val="001B767F"/>
    <w:rsid w:val="001C3B36"/>
    <w:rsid w:val="001C7E70"/>
    <w:rsid w:val="001D366B"/>
    <w:rsid w:val="001D3DF5"/>
    <w:rsid w:val="001F2116"/>
    <w:rsid w:val="00205404"/>
    <w:rsid w:val="00210E59"/>
    <w:rsid w:val="00226C65"/>
    <w:rsid w:val="0023159C"/>
    <w:rsid w:val="00233CCD"/>
    <w:rsid w:val="002372B2"/>
    <w:rsid w:val="00240326"/>
    <w:rsid w:val="00285207"/>
    <w:rsid w:val="002F61D5"/>
    <w:rsid w:val="00307D2D"/>
    <w:rsid w:val="00312D11"/>
    <w:rsid w:val="003146B5"/>
    <w:rsid w:val="003159E8"/>
    <w:rsid w:val="0033607A"/>
    <w:rsid w:val="00351BB9"/>
    <w:rsid w:val="00385BF8"/>
    <w:rsid w:val="003877FE"/>
    <w:rsid w:val="003945C7"/>
    <w:rsid w:val="003A3C04"/>
    <w:rsid w:val="003C4571"/>
    <w:rsid w:val="003C4EAB"/>
    <w:rsid w:val="003C5F54"/>
    <w:rsid w:val="003C7A7B"/>
    <w:rsid w:val="003D0B7F"/>
    <w:rsid w:val="003D2D63"/>
    <w:rsid w:val="003E3E24"/>
    <w:rsid w:val="004026F0"/>
    <w:rsid w:val="004162EF"/>
    <w:rsid w:val="0043446E"/>
    <w:rsid w:val="0044643F"/>
    <w:rsid w:val="0046679D"/>
    <w:rsid w:val="004A60CF"/>
    <w:rsid w:val="004B26A1"/>
    <w:rsid w:val="004B5244"/>
    <w:rsid w:val="004B64FB"/>
    <w:rsid w:val="004C172F"/>
    <w:rsid w:val="004E5C90"/>
    <w:rsid w:val="004F0DE5"/>
    <w:rsid w:val="005155EB"/>
    <w:rsid w:val="00546B60"/>
    <w:rsid w:val="00547EA7"/>
    <w:rsid w:val="0055416E"/>
    <w:rsid w:val="00582A16"/>
    <w:rsid w:val="005A71E7"/>
    <w:rsid w:val="005D1426"/>
    <w:rsid w:val="005D4285"/>
    <w:rsid w:val="005E2955"/>
    <w:rsid w:val="005E4281"/>
    <w:rsid w:val="00602244"/>
    <w:rsid w:val="00615CF1"/>
    <w:rsid w:val="0063039B"/>
    <w:rsid w:val="00645044"/>
    <w:rsid w:val="00651039"/>
    <w:rsid w:val="00662B19"/>
    <w:rsid w:val="00667050"/>
    <w:rsid w:val="0068482F"/>
    <w:rsid w:val="00687366"/>
    <w:rsid w:val="006A7986"/>
    <w:rsid w:val="006D2FDB"/>
    <w:rsid w:val="006D6A64"/>
    <w:rsid w:val="006F6C4D"/>
    <w:rsid w:val="0070187C"/>
    <w:rsid w:val="00701A90"/>
    <w:rsid w:val="007351AD"/>
    <w:rsid w:val="00735B9D"/>
    <w:rsid w:val="00737301"/>
    <w:rsid w:val="00763841"/>
    <w:rsid w:val="00766815"/>
    <w:rsid w:val="00775D45"/>
    <w:rsid w:val="00786B59"/>
    <w:rsid w:val="007A3F8A"/>
    <w:rsid w:val="007C5F37"/>
    <w:rsid w:val="007E1A9B"/>
    <w:rsid w:val="007E6FBA"/>
    <w:rsid w:val="007F04FC"/>
    <w:rsid w:val="00801CD3"/>
    <w:rsid w:val="00805092"/>
    <w:rsid w:val="00811434"/>
    <w:rsid w:val="00815612"/>
    <w:rsid w:val="00824827"/>
    <w:rsid w:val="00836434"/>
    <w:rsid w:val="00847A4F"/>
    <w:rsid w:val="00850A29"/>
    <w:rsid w:val="00857C2D"/>
    <w:rsid w:val="00862C16"/>
    <w:rsid w:val="008671BF"/>
    <w:rsid w:val="008870C7"/>
    <w:rsid w:val="008958A8"/>
    <w:rsid w:val="00896073"/>
    <w:rsid w:val="008A0296"/>
    <w:rsid w:val="008C10EE"/>
    <w:rsid w:val="008D3741"/>
    <w:rsid w:val="008D748F"/>
    <w:rsid w:val="008E06FA"/>
    <w:rsid w:val="0090101A"/>
    <w:rsid w:val="00904AF7"/>
    <w:rsid w:val="00904E15"/>
    <w:rsid w:val="0090510B"/>
    <w:rsid w:val="009076CC"/>
    <w:rsid w:val="00910B78"/>
    <w:rsid w:val="00914271"/>
    <w:rsid w:val="0092468A"/>
    <w:rsid w:val="00936DD1"/>
    <w:rsid w:val="00944BCF"/>
    <w:rsid w:val="0095313F"/>
    <w:rsid w:val="009A0B87"/>
    <w:rsid w:val="009A5ACF"/>
    <w:rsid w:val="009A7A22"/>
    <w:rsid w:val="009B4808"/>
    <w:rsid w:val="009C3130"/>
    <w:rsid w:val="009C4CAD"/>
    <w:rsid w:val="009C7052"/>
    <w:rsid w:val="009D3BC7"/>
    <w:rsid w:val="009E0695"/>
    <w:rsid w:val="009E2A67"/>
    <w:rsid w:val="009E2D87"/>
    <w:rsid w:val="009F54DD"/>
    <w:rsid w:val="00A37133"/>
    <w:rsid w:val="00A43EAF"/>
    <w:rsid w:val="00A51B72"/>
    <w:rsid w:val="00A57F51"/>
    <w:rsid w:val="00A63F8D"/>
    <w:rsid w:val="00A665C1"/>
    <w:rsid w:val="00A750D3"/>
    <w:rsid w:val="00A866A9"/>
    <w:rsid w:val="00AA4D10"/>
    <w:rsid w:val="00AA6E65"/>
    <w:rsid w:val="00AD0FCD"/>
    <w:rsid w:val="00AE13EE"/>
    <w:rsid w:val="00AE3262"/>
    <w:rsid w:val="00B05980"/>
    <w:rsid w:val="00B14CA5"/>
    <w:rsid w:val="00B21022"/>
    <w:rsid w:val="00B43B00"/>
    <w:rsid w:val="00B465AC"/>
    <w:rsid w:val="00B800A7"/>
    <w:rsid w:val="00B8158F"/>
    <w:rsid w:val="00B832B2"/>
    <w:rsid w:val="00B85C76"/>
    <w:rsid w:val="00B90622"/>
    <w:rsid w:val="00B9067C"/>
    <w:rsid w:val="00B9301E"/>
    <w:rsid w:val="00B96241"/>
    <w:rsid w:val="00BA0A0E"/>
    <w:rsid w:val="00BA4DA7"/>
    <w:rsid w:val="00BA7786"/>
    <w:rsid w:val="00BE189F"/>
    <w:rsid w:val="00BE3294"/>
    <w:rsid w:val="00BE751D"/>
    <w:rsid w:val="00BF0749"/>
    <w:rsid w:val="00BF4213"/>
    <w:rsid w:val="00BF6F39"/>
    <w:rsid w:val="00C03E14"/>
    <w:rsid w:val="00C1269C"/>
    <w:rsid w:val="00C26447"/>
    <w:rsid w:val="00C3683B"/>
    <w:rsid w:val="00C4379A"/>
    <w:rsid w:val="00C50A45"/>
    <w:rsid w:val="00C7225B"/>
    <w:rsid w:val="00C97C32"/>
    <w:rsid w:val="00CA2397"/>
    <w:rsid w:val="00CD16E5"/>
    <w:rsid w:val="00CD2F29"/>
    <w:rsid w:val="00CD7588"/>
    <w:rsid w:val="00CE546B"/>
    <w:rsid w:val="00D035B3"/>
    <w:rsid w:val="00D039E9"/>
    <w:rsid w:val="00D11E11"/>
    <w:rsid w:val="00D1272E"/>
    <w:rsid w:val="00D1445E"/>
    <w:rsid w:val="00D149CA"/>
    <w:rsid w:val="00D35CBA"/>
    <w:rsid w:val="00D377F3"/>
    <w:rsid w:val="00D472EF"/>
    <w:rsid w:val="00D77AC1"/>
    <w:rsid w:val="00D862DB"/>
    <w:rsid w:val="00DA00F1"/>
    <w:rsid w:val="00DB375A"/>
    <w:rsid w:val="00DD511E"/>
    <w:rsid w:val="00DD5FEA"/>
    <w:rsid w:val="00DD7789"/>
    <w:rsid w:val="00DE7465"/>
    <w:rsid w:val="00DE7DE8"/>
    <w:rsid w:val="00DF08C0"/>
    <w:rsid w:val="00DF3566"/>
    <w:rsid w:val="00E04CFC"/>
    <w:rsid w:val="00E075C4"/>
    <w:rsid w:val="00E35835"/>
    <w:rsid w:val="00E45CFB"/>
    <w:rsid w:val="00E47A02"/>
    <w:rsid w:val="00E54FF2"/>
    <w:rsid w:val="00E7588A"/>
    <w:rsid w:val="00E821D2"/>
    <w:rsid w:val="00E827B8"/>
    <w:rsid w:val="00E8419C"/>
    <w:rsid w:val="00E9509E"/>
    <w:rsid w:val="00E950F9"/>
    <w:rsid w:val="00E97249"/>
    <w:rsid w:val="00EA0F2A"/>
    <w:rsid w:val="00EA25D8"/>
    <w:rsid w:val="00EA29F3"/>
    <w:rsid w:val="00EA5A50"/>
    <w:rsid w:val="00EB006B"/>
    <w:rsid w:val="00EC188C"/>
    <w:rsid w:val="00EC6952"/>
    <w:rsid w:val="00EE0A5D"/>
    <w:rsid w:val="00F24072"/>
    <w:rsid w:val="00F265D1"/>
    <w:rsid w:val="00F27F56"/>
    <w:rsid w:val="00F32CFE"/>
    <w:rsid w:val="00F3418F"/>
    <w:rsid w:val="00F42EB6"/>
    <w:rsid w:val="00F5026E"/>
    <w:rsid w:val="00F605C1"/>
    <w:rsid w:val="00F6621F"/>
    <w:rsid w:val="00F7023A"/>
    <w:rsid w:val="00F80A6E"/>
    <w:rsid w:val="00F82F71"/>
    <w:rsid w:val="00F86529"/>
    <w:rsid w:val="00F9532A"/>
    <w:rsid w:val="00FA1394"/>
    <w:rsid w:val="00FB181F"/>
    <w:rsid w:val="00FB46EC"/>
    <w:rsid w:val="00FD172A"/>
    <w:rsid w:val="00FD7CC3"/>
    <w:rsid w:val="00FF780D"/>
    <w:rsid w:val="027A2D5C"/>
    <w:rsid w:val="04DC2F80"/>
    <w:rsid w:val="06331E83"/>
    <w:rsid w:val="06E05C43"/>
    <w:rsid w:val="15C117BF"/>
    <w:rsid w:val="173F4741"/>
    <w:rsid w:val="21984A54"/>
    <w:rsid w:val="230253ED"/>
    <w:rsid w:val="265C7ABB"/>
    <w:rsid w:val="285B0665"/>
    <w:rsid w:val="2B8A1D88"/>
    <w:rsid w:val="2C8D65EF"/>
    <w:rsid w:val="32141AD5"/>
    <w:rsid w:val="3321096A"/>
    <w:rsid w:val="37D47906"/>
    <w:rsid w:val="3C0522E2"/>
    <w:rsid w:val="3FB52C02"/>
    <w:rsid w:val="422739E4"/>
    <w:rsid w:val="49B35A2A"/>
    <w:rsid w:val="4B0E0C5E"/>
    <w:rsid w:val="4E3865D6"/>
    <w:rsid w:val="64E32D85"/>
    <w:rsid w:val="6A820662"/>
    <w:rsid w:val="6C847C3A"/>
    <w:rsid w:val="6D6A3C32"/>
    <w:rsid w:val="6FA07046"/>
    <w:rsid w:val="6FD452B6"/>
    <w:rsid w:val="700E76CA"/>
    <w:rsid w:val="730C4275"/>
    <w:rsid w:val="73692954"/>
    <w:rsid w:val="76221D48"/>
    <w:rsid w:val="7883669E"/>
    <w:rsid w:val="7C7B3C60"/>
    <w:rsid w:val="7CCA7AA7"/>
    <w:rsid w:val="7ECF06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ascii="Times New Roman" w:hAnsi="Times New Roman" w:cs="Times New Roman"/>
      <w:b/>
    </w:rPr>
  </w:style>
  <w:style w:type="character" w:customStyle="1" w:styleId="9">
    <w:name w:val="批注框文本 Char"/>
    <w:basedOn w:val="7"/>
    <w:link w:val="2"/>
    <w:semiHidden/>
    <w:locked/>
    <w:uiPriority w:val="99"/>
    <w:rPr>
      <w:rFonts w:cs="Times New Roman"/>
      <w:kern w:val="2"/>
      <w:sz w:val="18"/>
      <w:szCs w:val="18"/>
    </w:rPr>
  </w:style>
  <w:style w:type="character" w:customStyle="1" w:styleId="10">
    <w:name w:val="页脚 Char"/>
    <w:basedOn w:val="7"/>
    <w:link w:val="3"/>
    <w:locked/>
    <w:uiPriority w:val="99"/>
    <w:rPr>
      <w:rFonts w:cs="Times New Roman"/>
      <w:sz w:val="18"/>
      <w:szCs w:val="18"/>
    </w:rPr>
  </w:style>
  <w:style w:type="character" w:customStyle="1" w:styleId="11">
    <w:name w:val="页眉 Char"/>
    <w:basedOn w:val="7"/>
    <w:link w:val="4"/>
    <w:semiHidden/>
    <w:locked/>
    <w:uiPriority w:val="99"/>
    <w:rPr>
      <w:rFonts w:cs="Times New Roman"/>
      <w:sz w:val="18"/>
      <w:szCs w:val="18"/>
    </w:rPr>
  </w:style>
  <w:style w:type="character" w:customStyle="1" w:styleId="12">
    <w:name w:val="bjh-p"/>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726A0-1CEC-4351-9718-B01BC486EF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795</Words>
  <Characters>4536</Characters>
  <Lines>37</Lines>
  <Paragraphs>10</Paragraphs>
  <TotalTime>307</TotalTime>
  <ScaleCrop>false</ScaleCrop>
  <LinksUpToDate>false</LinksUpToDate>
  <CharactersWithSpaces>5321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2020-02-20T01:16:00Z</dcterms:created>
  <dc:creator>ky</dc:creator>
  <cp:lastModifiedBy>许果果</cp:lastModifiedBy>
  <cp:lastPrinted>2020-06-01T08:54:00Z</cp:lastPrinted>
  <dcterms:modified xsi:type="dcterms:W3CDTF">2021-09-29T09:14:52Z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