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keepNext/>
        <w:keepLines/>
        <w:tabs>
          <w:tab w:val="left" w:pos="6669"/>
        </w:tabs>
        <w:autoSpaceDE w:val="0"/>
        <w:autoSpaceDN w:val="0"/>
        <w:adjustRightInd w:val="0"/>
        <w:ind w:left="198"/>
        <w:jc w:val="center"/>
        <w:rPr>
          <w:rFonts w:hint="eastAsia" w:ascii="方正小标宋简体" w:hAnsi="Times New Roman" w:eastAsia="方正小标宋简体" w:cs="Times New Roman"/>
          <w:kern w:val="2"/>
          <w:sz w:val="44"/>
        </w:rPr>
      </w:pPr>
      <w:r>
        <w:rPr>
          <w:rFonts w:hint="eastAsia" w:ascii="Times New Roman" w:hAnsi="Times New Roman" w:eastAsia="方正小标宋简体" w:cs="Times New Roman"/>
          <w:kern w:val="2"/>
          <w:sz w:val="44"/>
        </w:rPr>
        <w:t>2023</w:t>
      </w:r>
      <w:r>
        <w:rPr>
          <w:rFonts w:hint="eastAsia" w:ascii="方正小标宋简体" w:hAnsi="Times New Roman" w:eastAsia="方正小标宋简体" w:cs="Times New Roman"/>
          <w:kern w:val="2"/>
          <w:sz w:val="44"/>
        </w:rPr>
        <w:t>年度包头市养老服务中心</w:t>
      </w:r>
    </w:p>
    <w:p>
      <w:pPr>
        <w:keepNext/>
        <w:keepLines/>
        <w:tabs>
          <w:tab w:val="left" w:pos="6669"/>
        </w:tabs>
        <w:autoSpaceDE w:val="0"/>
        <w:autoSpaceDN w:val="0"/>
        <w:adjustRightInd w:val="0"/>
        <w:ind w:left="198"/>
        <w:jc w:val="center"/>
        <w:rPr>
          <w:rFonts w:hint="default" w:ascii="方正小标宋简体" w:hAnsi="Times New Roman" w:eastAsia="方正小标宋简体" w:cs="Times New Roman"/>
          <w:kern w:val="2"/>
          <w:sz w:val="44"/>
          <w:lang w:val="en-US" w:eastAsia="zh-CN"/>
        </w:rPr>
      </w:pPr>
      <w:r>
        <w:rPr>
          <w:rFonts w:hint="eastAsia" w:ascii="方正小标宋简体" w:hAnsi="Times New Roman" w:eastAsia="方正小标宋简体" w:cs="Times New Roman"/>
          <w:kern w:val="2"/>
          <w:sz w:val="44"/>
          <w:lang w:val="en-US" w:eastAsia="zh-CN"/>
        </w:rPr>
        <w:t>决算公开</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adjustRightInd w:val="0"/>
        <w:snapToGrid w:val="0"/>
        <w:rPr>
          <w:rFonts w:ascii="宋体" w:hAnsi="宋体"/>
          <w:b/>
          <w:sz w:val="32"/>
          <w:szCs w:val="32"/>
        </w:rPr>
      </w:pPr>
    </w:p>
    <w:p>
      <w:pPr>
        <w:adjustRightInd w:val="0"/>
        <w:snapToGrid w:val="0"/>
        <w:rPr>
          <w:rFonts w:ascii="宋体" w:hAnsi="宋体"/>
          <w:b/>
          <w:sz w:val="32"/>
          <w:szCs w:val="32"/>
        </w:rPr>
      </w:pPr>
    </w:p>
    <w:p>
      <w:pPr>
        <w:adjustRightInd w:val="0"/>
        <w:snapToGrid w:val="0"/>
        <w:jc w:val="center"/>
      </w:pPr>
    </w:p>
    <w:p>
      <w:pPr>
        <w:adjustRightInd w:val="0"/>
        <w:snapToGrid w:val="0"/>
        <w:rPr>
          <w:rFonts w:ascii="宋体" w:hAnsi="宋体"/>
          <w:b/>
          <w:sz w:val="32"/>
          <w:szCs w:val="32"/>
        </w:rPr>
      </w:pPr>
    </w:p>
    <w:p>
      <w:pPr>
        <w:autoSpaceDE w:val="0"/>
        <w:autoSpaceDN w:val="0"/>
        <w:adjustRightInd w:val="0"/>
        <w:jc w:val="center"/>
        <w:rPr>
          <w:rFonts w:hint="eastAsia" w:ascii="Courier New" w:hAnsi="Courier New" w:eastAsia="仿宋_GB2312" w:cs="Times New Roman"/>
          <w:b/>
          <w:kern w:val="2"/>
          <w:sz w:val="48"/>
        </w:rPr>
      </w:pPr>
      <w:bookmarkStart w:id="0" w:name="a000"/>
      <w:r>
        <w:rPr>
          <w:rFonts w:hint="eastAsia" w:ascii="Courier New" w:hAnsi="Courier New" w:eastAsia="仿宋_GB2312" w:cs="Times New Roman"/>
          <w:b/>
          <w:kern w:val="2"/>
          <w:sz w:val="48"/>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autoSpaceDE w:val="0"/>
        <w:autoSpaceDN w:val="0"/>
        <w:adjustRightInd w:val="0"/>
        <w:spacing w:line="360" w:lineRule="auto"/>
        <w:jc w:val="both"/>
        <w:rPr>
          <w:rFonts w:hint="eastAsia" w:ascii="黑体" w:hAnsi="Times New Roman" w:eastAsia="黑体" w:cs="Times New Roman"/>
          <w:kern w:val="2"/>
          <w:sz w:val="32"/>
        </w:rPr>
      </w:pPr>
      <w:r>
        <w:rPr>
          <w:rFonts w:hint="eastAsia" w:ascii="黑体" w:hAnsi="Times New Roman" w:eastAsia="黑体" w:cs="Times New Roman"/>
          <w:kern w:val="2"/>
          <w:sz w:val="32"/>
        </w:rPr>
        <w:t>第一部分 单位概况</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一、主要职能、职责</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二、单位机构设置及决算单位构成情况</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三</w:t>
      </w:r>
      <w:r>
        <w:rPr>
          <w:rFonts w:hint="eastAsia" w:ascii="仿宋_GB2312" w:hAnsi="Times New Roman" w:eastAsia="仿宋_GB2312" w:cs="Times New Roman"/>
          <w:kern w:val="2"/>
          <w:sz w:val="32"/>
        </w:rPr>
        <w:t>、</w:t>
      </w:r>
      <w:r>
        <w:rPr>
          <w:rFonts w:hint="eastAsia" w:ascii="仿宋_GB2312" w:hAnsi="Times New Roman" w:eastAsia="仿宋_GB2312" w:cs="Times New Roman"/>
          <w:kern w:val="2"/>
          <w:sz w:val="32"/>
          <w:lang w:val="en-US" w:eastAsia="zh-CN"/>
        </w:rPr>
        <w:t>2023</w:t>
      </w:r>
      <w:r>
        <w:rPr>
          <w:rFonts w:hint="eastAsia" w:ascii="仿宋_GB2312" w:hAnsi="Times New Roman" w:eastAsia="仿宋_GB2312" w:cs="Times New Roman"/>
          <w:kern w:val="2"/>
          <w:sz w:val="32"/>
        </w:rPr>
        <w:t>年度单位主要工作完成情况</w:t>
      </w:r>
    </w:p>
    <w:p>
      <w:pPr>
        <w:autoSpaceDE w:val="0"/>
        <w:autoSpaceDN w:val="0"/>
        <w:adjustRightInd w:val="0"/>
        <w:spacing w:line="360" w:lineRule="auto"/>
        <w:jc w:val="both"/>
        <w:rPr>
          <w:rFonts w:hint="eastAsia" w:ascii="黑体" w:hAnsi="Times New Roman" w:eastAsia="黑体" w:cs="Times New Roman"/>
          <w:kern w:val="2"/>
          <w:sz w:val="32"/>
        </w:rPr>
      </w:pPr>
      <w:r>
        <w:rPr>
          <w:rFonts w:hint="eastAsia" w:ascii="黑体" w:hAnsi="Times New Roman" w:eastAsia="黑体" w:cs="Times New Roman"/>
          <w:kern w:val="2"/>
          <w:sz w:val="32"/>
        </w:rPr>
        <w:t>第二部分 单位决算情况说明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一、收入支出决算总体情况说明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二、收入决算情况说明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三、支出决算情况说明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四、财政拨款收入支出决算总体情况说明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五、一般公共预算财政拨款支出决算情况说明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六、一般公共预算财政拨款基本支出决算情况说明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七、一般公共预算财政拨款项目支出决算情况说明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八、财政拨款</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三公</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经费支出决算情况说明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九、政府性基金预算财政拨款支出决算情况说明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十、国有资本经营预算财政拨款支出决算情况说明</w:t>
      </w:r>
    </w:p>
    <w:p>
      <w:pPr>
        <w:autoSpaceDE w:val="0"/>
        <w:autoSpaceDN w:val="0"/>
        <w:adjustRightInd w:val="0"/>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十一、机构运行经费支出决算情况说明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十二、政府采购支出决算情况说明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十三、国有资产占用情况说明</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十四、预算绩效情况说明</w:t>
      </w:r>
    </w:p>
    <w:p>
      <w:pPr>
        <w:autoSpaceDE w:val="0"/>
        <w:autoSpaceDN w:val="0"/>
        <w:adjustRightInd w:val="0"/>
        <w:spacing w:line="360" w:lineRule="auto"/>
        <w:jc w:val="both"/>
        <w:rPr>
          <w:rFonts w:hint="eastAsia" w:ascii="黑体" w:hAnsi="Times New Roman" w:eastAsia="黑体" w:cs="Times New Roman"/>
          <w:kern w:val="2"/>
          <w:sz w:val="32"/>
        </w:rPr>
      </w:pPr>
      <w:r>
        <w:rPr>
          <w:rFonts w:hint="eastAsia" w:ascii="黑体" w:hAnsi="Times New Roman" w:eastAsia="黑体" w:cs="Times New Roman"/>
          <w:kern w:val="2"/>
          <w:sz w:val="32"/>
        </w:rPr>
        <w:t>第三部分 名词解释</w:t>
      </w:r>
    </w:p>
    <w:p>
      <w:pPr>
        <w:autoSpaceDE w:val="0"/>
        <w:autoSpaceDN w:val="0"/>
        <w:adjustRightInd w:val="0"/>
        <w:spacing w:line="360" w:lineRule="auto"/>
        <w:jc w:val="both"/>
        <w:rPr>
          <w:rFonts w:hint="eastAsia" w:ascii="黑体" w:hAnsi="Times New Roman" w:eastAsia="黑体" w:cs="Times New Roman"/>
          <w:kern w:val="2"/>
          <w:sz w:val="32"/>
        </w:rPr>
      </w:pPr>
      <w:r>
        <w:rPr>
          <w:rFonts w:hint="eastAsia" w:ascii="黑体" w:hAnsi="Times New Roman" w:eastAsia="黑体" w:cs="Times New Roman"/>
          <w:kern w:val="2"/>
          <w:sz w:val="32"/>
        </w:rPr>
        <w:t>第四部分 决算公开联系方式及信息反馈渠道</w:t>
      </w:r>
    </w:p>
    <w:p>
      <w:pPr>
        <w:autoSpaceDE w:val="0"/>
        <w:autoSpaceDN w:val="0"/>
        <w:adjustRightInd w:val="0"/>
        <w:spacing w:line="360" w:lineRule="auto"/>
        <w:jc w:val="both"/>
        <w:rPr>
          <w:rFonts w:hint="eastAsia" w:ascii="黑体" w:hAnsi="Times New Roman" w:eastAsia="黑体" w:cs="Times New Roman"/>
          <w:kern w:val="2"/>
          <w:sz w:val="32"/>
        </w:rPr>
      </w:pPr>
      <w:r>
        <w:rPr>
          <w:rFonts w:hint="eastAsia" w:ascii="黑体" w:hAnsi="Times New Roman" w:eastAsia="黑体" w:cs="Times New Roman"/>
          <w:kern w:val="2"/>
          <w:sz w:val="32"/>
        </w:rPr>
        <w:t>第五部分 单位决算表</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一、收入支出决算总表</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二、收入决算表</w:t>
      </w:r>
    </w:p>
    <w:p>
      <w:pPr>
        <w:autoSpaceDE w:val="0"/>
        <w:autoSpaceDN w:val="0"/>
        <w:adjustRightInd w:val="0"/>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三、支出决算表</w:t>
      </w:r>
    </w:p>
    <w:p>
      <w:pPr>
        <w:autoSpaceDE w:val="0"/>
        <w:autoSpaceDN w:val="0"/>
        <w:adjustRightInd w:val="0"/>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四、财政拨款收入支出决算总表</w:t>
      </w:r>
    </w:p>
    <w:p>
      <w:pPr>
        <w:autoSpaceDE w:val="0"/>
        <w:autoSpaceDN w:val="0"/>
        <w:adjustRightInd w:val="0"/>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五、一般公共预算财政拨款支出决算表</w:t>
      </w:r>
    </w:p>
    <w:p>
      <w:pPr>
        <w:autoSpaceDE w:val="0"/>
        <w:autoSpaceDN w:val="0"/>
        <w:adjustRightInd w:val="0"/>
        <w:spacing w:line="360" w:lineRule="auto"/>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六、一般公共预算财政拨款基本支出决算明细表</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七、一般公共预算财政拨款项目支出决算明细表</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八、政府性基金预算财政拨款收入支出决算表</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九、国有资本经营预算财政拨款支出决算表</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十、财政拨款</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三公</w:t>
      </w:r>
      <w:r>
        <w:rPr>
          <w:rFonts w:hint="eastAsia" w:ascii="仿宋_GB2312" w:hAnsi="Times New Roman" w:eastAsia="仿宋_GB2312" w:cs="Times New Roman"/>
          <w:kern w:val="2"/>
          <w:sz w:val="32"/>
          <w:lang w:eastAsia="zh-CN"/>
        </w:rPr>
        <w:t>”</w:t>
      </w:r>
      <w:r>
        <w:rPr>
          <w:rFonts w:hint="eastAsia" w:ascii="仿宋_GB2312" w:hAnsi="Times New Roman" w:eastAsia="仿宋_GB2312" w:cs="Times New Roman"/>
          <w:kern w:val="2"/>
          <w:sz w:val="32"/>
        </w:rPr>
        <w:t>经费支出决算表</w:t>
      </w:r>
    </w:p>
    <w:p>
      <w:pPr>
        <w:autoSpaceDE w:val="0"/>
        <w:autoSpaceDN w:val="0"/>
        <w:adjustRightInd w:val="0"/>
        <w:spacing w:line="360" w:lineRule="auto"/>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十一、机构运行经费支出、国有资产占用情况及政府采购支出信息表</w:t>
      </w: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widowControl/>
        <w:spacing w:before="240" w:after="240"/>
        <w:rPr>
          <w:rFonts w:ascii="Times New Roman" w:hAnsi="Times New Roman" w:eastAsia="Times New Roman" w:cs="Times New Roman"/>
          <w:kern w:val="0"/>
          <w:sz w:val="24"/>
        </w:rPr>
      </w:pPr>
    </w:p>
    <w:p>
      <w:pPr>
        <w:autoSpaceDE w:val="0"/>
        <w:autoSpaceDN w:val="0"/>
        <w:adjustRightInd w:val="0"/>
        <w:spacing w:line="600" w:lineRule="exact"/>
        <w:jc w:val="center"/>
        <w:rPr>
          <w:rFonts w:hint="eastAsia" w:ascii="方正小标宋简体" w:hAnsi="Times New Roman" w:eastAsia="方正小标宋简体" w:cs="Times New Roman"/>
          <w:kern w:val="2"/>
          <w:sz w:val="36"/>
        </w:rPr>
      </w:pPr>
      <w:r>
        <w:rPr>
          <w:rFonts w:hint="eastAsia" w:ascii="方正小标宋简体" w:hAnsi="Times New Roman" w:eastAsia="方正小标宋简体" w:cs="Times New Roman"/>
          <w:kern w:val="2"/>
          <w:sz w:val="36"/>
        </w:rPr>
        <w:t>第一部分 单位概况</w:t>
      </w:r>
    </w:p>
    <w:p>
      <w:pPr>
        <w:widowControl/>
        <w:spacing w:before="240" w:after="240"/>
        <w:jc w:val="left"/>
        <w:rPr>
          <w:rFonts w:hint="eastAsia" w:ascii="黑体" w:hAnsi="Times New Roman" w:eastAsia="黑体" w:cs="Times New Roman"/>
          <w:b/>
          <w:kern w:val="2"/>
          <w:sz w:val="32"/>
        </w:rPr>
      </w:pPr>
      <w:r>
        <w:rPr>
          <w:rFonts w:ascii="黑体" w:hAnsi="黑体" w:eastAsia="黑体" w:cs="黑体"/>
          <w:kern w:val="0"/>
          <w:sz w:val="32"/>
          <w:szCs w:val="32"/>
        </w:rPr>
        <w:t> </w:t>
      </w:r>
      <w:r>
        <w:rPr>
          <w:rFonts w:hint="eastAsia" w:ascii="黑体" w:hAnsi="Times New Roman" w:eastAsia="黑体" w:cs="Times New Roman"/>
          <w:b/>
          <w:kern w:val="2"/>
          <w:sz w:val="32"/>
        </w:rPr>
        <w:t xml:space="preserve">   一、主要职能、职责</w:t>
      </w:r>
    </w:p>
    <w:p>
      <w:pPr>
        <w:pStyle w:val="21"/>
        <w:keepNext w:val="0"/>
        <w:keepLines w:val="0"/>
        <w:pageBreakBefore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kern w:val="0"/>
          <w:sz w:val="30"/>
          <w:szCs w:val="30"/>
          <w:u w:val="none"/>
          <w:lang w:val="en-US" w:eastAsia="zh-CN"/>
        </w:rPr>
      </w:pPr>
      <w:r>
        <w:rPr>
          <w:rFonts w:hint="eastAsia" w:ascii="仿宋" w:hAnsi="仿宋" w:eastAsia="仿宋" w:cs="仿宋"/>
          <w:b/>
          <w:kern w:val="0"/>
          <w:sz w:val="30"/>
          <w:szCs w:val="30"/>
          <w:u w:val="none"/>
          <w:lang w:eastAsia="zh-CN"/>
        </w:rPr>
        <w:t xml:space="preserve">  </w:t>
      </w:r>
      <w:r>
        <w:rPr>
          <w:rFonts w:hint="eastAsia" w:ascii="仿宋" w:hAnsi="仿宋" w:eastAsia="仿宋" w:cs="仿宋"/>
          <w:b/>
          <w:kern w:val="0"/>
          <w:sz w:val="30"/>
          <w:szCs w:val="30"/>
          <w:u w:val="none"/>
          <w:lang w:val="en-US" w:eastAsia="zh-CN"/>
        </w:rPr>
        <w:t>（一）单位职能</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根据中共包头市委员会机构编制委员会关于印发《关于包头市养老服务中心机构职能编制的批复》（包机编发〔2022〕25号），设立包头市养老服务中心，为包头市民政局所属公益一类事业单位。</w:t>
      </w:r>
    </w:p>
    <w:p>
      <w:pPr>
        <w:pStyle w:val="21"/>
        <w:keepNext w:val="0"/>
        <w:keepLines w:val="0"/>
        <w:pageBreakBefore w:val="0"/>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kern w:val="0"/>
          <w:sz w:val="30"/>
          <w:szCs w:val="30"/>
          <w:u w:val="none"/>
          <w:lang w:eastAsia="zh-CN"/>
        </w:rPr>
      </w:pPr>
      <w:r>
        <w:rPr>
          <w:rFonts w:hint="eastAsia" w:ascii="仿宋" w:hAnsi="仿宋" w:eastAsia="仿宋" w:cs="仿宋"/>
          <w:b/>
          <w:kern w:val="0"/>
          <w:sz w:val="30"/>
          <w:szCs w:val="30"/>
          <w:u w:val="none"/>
          <w:lang w:eastAsia="zh-CN"/>
        </w:rPr>
        <w:t>（</w:t>
      </w:r>
      <w:r>
        <w:rPr>
          <w:rFonts w:hint="eastAsia" w:ascii="仿宋" w:hAnsi="仿宋" w:eastAsia="仿宋" w:cs="仿宋"/>
          <w:b/>
          <w:kern w:val="0"/>
          <w:sz w:val="30"/>
          <w:szCs w:val="30"/>
          <w:u w:val="none"/>
          <w:lang w:val="en-US" w:eastAsia="zh-CN"/>
        </w:rPr>
        <w:t>二</w:t>
      </w:r>
      <w:r>
        <w:rPr>
          <w:rFonts w:hint="eastAsia" w:ascii="仿宋" w:hAnsi="仿宋" w:eastAsia="仿宋" w:cs="仿宋"/>
          <w:b/>
          <w:kern w:val="0"/>
          <w:sz w:val="30"/>
          <w:szCs w:val="30"/>
          <w:u w:val="none"/>
          <w:lang w:eastAsia="zh-CN"/>
        </w:rPr>
        <w:t>）主要职责</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认真贯彻落实党中央关于养老服务工作得方针政策和自治区党委、市委决策部署，承担养老服务、福利园区、慈善捐助等事务职能。主要职责是：1、开展全市养老服务政策、发展规划、标准化的调研、评论和评估等辅助性工作；2、开展全市养老示范性服务、业务培训、宣传咨询和规范化管理等相关工作；3、承担全市养老机构等级划分评定的服务性工作；4、协助局机关做好市级民政福利园区基础设施项目规划并组织实施，承担园区事务管理和后勤服务保障工作；5、负责做好市民政局原局属福利企业破产清算及后续事项服务工作。6、负责全市慈善捐助相关工作；7、承担市民政局交办的其他相关工作。</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黑体" w:hAnsi="Times New Roman" w:eastAsia="黑体" w:cs="Times New Roman"/>
          <w:b/>
          <w:kern w:val="2"/>
          <w:sz w:val="32"/>
        </w:rPr>
        <w:t xml:space="preserve"> 二、单位机构设置及决算单位构成情况</w:t>
      </w:r>
    </w:p>
    <w:p>
      <w:pPr>
        <w:autoSpaceDE w:val="0"/>
        <w:autoSpaceDN w:val="0"/>
        <w:adjustRightInd w:val="0"/>
        <w:spacing w:line="560" w:lineRule="exact"/>
        <w:ind w:firstLine="640"/>
        <w:jc w:val="both"/>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rPr>
        <w:t>1．根据</w:t>
      </w:r>
      <w:r>
        <w:rPr>
          <w:rFonts w:hint="eastAsia" w:ascii="Times New Roman" w:hAnsi="Times New Roman" w:eastAsia="仿宋_GB2312" w:cs="Times New Roman"/>
          <w:kern w:val="2"/>
          <w:sz w:val="32"/>
          <w:lang w:eastAsia="zh-CN"/>
        </w:rPr>
        <w:t>单位</w:t>
      </w:r>
      <w:r>
        <w:rPr>
          <w:rFonts w:hint="eastAsia" w:ascii="Times New Roman" w:hAnsi="Times New Roman" w:eastAsia="仿宋_GB2312" w:cs="Times New Roman"/>
          <w:kern w:val="2"/>
          <w:sz w:val="32"/>
        </w:rPr>
        <w:t>职责分工，本</w:t>
      </w:r>
      <w:r>
        <w:rPr>
          <w:rFonts w:hint="eastAsia" w:ascii="Times New Roman" w:hAnsi="Times New Roman" w:eastAsia="仿宋_GB2312" w:cs="Times New Roman"/>
          <w:kern w:val="2"/>
          <w:sz w:val="32"/>
          <w:lang w:eastAsia="zh-CN"/>
        </w:rPr>
        <w:t>单位</w:t>
      </w:r>
      <w:r>
        <w:rPr>
          <w:rFonts w:hint="eastAsia" w:ascii="Times New Roman" w:hAnsi="Times New Roman" w:eastAsia="仿宋_GB2312" w:cs="Times New Roman"/>
          <w:kern w:val="2"/>
          <w:sz w:val="32"/>
        </w:rPr>
        <w:t>内设机构包括</w:t>
      </w:r>
      <w:r>
        <w:rPr>
          <w:rFonts w:hint="eastAsia" w:ascii="Times New Roman" w:hAnsi="Times New Roman" w:eastAsia="仿宋_GB2312" w:cs="Times New Roman"/>
          <w:kern w:val="2"/>
          <w:sz w:val="32"/>
          <w:lang w:val="en-US" w:eastAsia="zh-CN"/>
        </w:rPr>
        <w:t>办公室、政策保障科、事业促进科、慈善捐助科和园区服务科</w:t>
      </w:r>
      <w:r>
        <w:rPr>
          <w:rFonts w:hint="eastAsia" w:ascii="Times New Roman" w:hAnsi="Times New Roman" w:eastAsia="仿宋_GB2312" w:cs="Times New Roman"/>
          <w:kern w:val="2"/>
          <w:sz w:val="32"/>
        </w:rPr>
        <w:t>。</w:t>
      </w:r>
      <w:r>
        <w:rPr>
          <w:rFonts w:hint="eastAsia" w:ascii="Times New Roman" w:hAnsi="Times New Roman" w:eastAsia="仿宋_GB2312" w:cs="Times New Roman"/>
          <w:kern w:val="2"/>
          <w:sz w:val="32"/>
          <w:lang w:val="en-US" w:eastAsia="zh-CN"/>
        </w:rPr>
        <w:t>本单位无下属单位</w:t>
      </w:r>
      <w:r>
        <w:rPr>
          <w:rFonts w:hint="eastAsia" w:ascii="Times New Roman" w:hAnsi="Times New Roman" w:eastAsia="仿宋_GB2312" w:cs="Times New Roman"/>
          <w:kern w:val="2"/>
          <w:sz w:val="32"/>
        </w:rPr>
        <w:t>。</w:t>
      </w:r>
    </w:p>
    <w:p>
      <w:pPr>
        <w:autoSpaceDE w:val="0"/>
        <w:autoSpaceDN w:val="0"/>
        <w:adjustRightInd w:val="0"/>
        <w:spacing w:line="560" w:lineRule="exact"/>
        <w:ind w:firstLine="640"/>
        <w:jc w:val="both"/>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rPr>
        <w:t xml:space="preserve"> 2．从</w:t>
      </w:r>
      <w:r>
        <w:rPr>
          <w:rFonts w:hint="eastAsia" w:ascii="Times New Roman" w:hAnsi="Times New Roman" w:eastAsia="仿宋_GB2312" w:cs="Times New Roman"/>
          <w:kern w:val="2"/>
          <w:sz w:val="32"/>
          <w:lang w:val="en-US" w:eastAsia="zh-CN"/>
        </w:rPr>
        <w:t>决</w:t>
      </w:r>
      <w:r>
        <w:rPr>
          <w:rFonts w:hint="eastAsia" w:ascii="Times New Roman" w:hAnsi="Times New Roman" w:eastAsia="仿宋_GB2312" w:cs="Times New Roman"/>
          <w:kern w:val="2"/>
          <w:sz w:val="32"/>
        </w:rPr>
        <w:t>算单位构成看，纳入本</w:t>
      </w:r>
      <w:r>
        <w:rPr>
          <w:rFonts w:hint="eastAsia" w:ascii="Times New Roman" w:hAnsi="Times New Roman" w:eastAsia="仿宋_GB2312" w:cs="Times New Roman"/>
          <w:kern w:val="2"/>
          <w:sz w:val="32"/>
          <w:lang w:eastAsia="zh-CN"/>
        </w:rPr>
        <w:t>单位</w:t>
      </w:r>
      <w:r>
        <w:rPr>
          <w:rFonts w:hint="eastAsia" w:ascii="Times New Roman" w:hAnsi="Times New Roman" w:eastAsia="仿宋_GB2312" w:cs="Times New Roman"/>
          <w:kern w:val="2"/>
          <w:sz w:val="32"/>
          <w:lang w:val="en-US" w:eastAsia="zh-CN"/>
        </w:rPr>
        <w:t>2022</w:t>
      </w:r>
      <w:r>
        <w:rPr>
          <w:rFonts w:hint="eastAsia" w:ascii="Times New Roman" w:hAnsi="Times New Roman" w:eastAsia="仿宋_GB2312" w:cs="Times New Roman"/>
          <w:kern w:val="2"/>
          <w:sz w:val="32"/>
        </w:rPr>
        <w:t>年汇总</w:t>
      </w:r>
      <w:r>
        <w:rPr>
          <w:rFonts w:hint="eastAsia" w:ascii="Times New Roman" w:hAnsi="Times New Roman" w:eastAsia="仿宋_GB2312" w:cs="Times New Roman"/>
          <w:kern w:val="2"/>
          <w:sz w:val="32"/>
          <w:lang w:val="en-US" w:eastAsia="zh-CN"/>
        </w:rPr>
        <w:t>决</w:t>
      </w:r>
      <w:r>
        <w:rPr>
          <w:rFonts w:hint="eastAsia" w:ascii="Times New Roman" w:hAnsi="Times New Roman" w:eastAsia="仿宋_GB2312" w:cs="Times New Roman"/>
          <w:kern w:val="2"/>
          <w:sz w:val="32"/>
        </w:rPr>
        <w:t>算编制范围的</w:t>
      </w:r>
      <w:r>
        <w:rPr>
          <w:rFonts w:hint="eastAsia" w:ascii="Times New Roman" w:hAnsi="Times New Roman" w:eastAsia="仿宋_GB2312" w:cs="Times New Roman"/>
          <w:kern w:val="2"/>
          <w:sz w:val="32"/>
          <w:lang w:val="en-US" w:eastAsia="zh-CN"/>
        </w:rPr>
        <w:t>决</w:t>
      </w:r>
      <w:r>
        <w:rPr>
          <w:rFonts w:hint="eastAsia" w:ascii="Times New Roman" w:hAnsi="Times New Roman" w:eastAsia="仿宋_GB2312" w:cs="Times New Roman"/>
          <w:kern w:val="2"/>
          <w:sz w:val="32"/>
        </w:rPr>
        <w:t>算单位共计</w:t>
      </w:r>
      <w:r>
        <w:rPr>
          <w:rFonts w:hint="eastAsia" w:ascii="Times New Roman" w:hAnsi="Times New Roman" w:eastAsia="仿宋_GB2312" w:cs="Times New Roman"/>
          <w:kern w:val="2"/>
          <w:sz w:val="32"/>
          <w:lang w:val="en-US" w:eastAsia="zh-CN"/>
        </w:rPr>
        <w:t>1</w:t>
      </w:r>
      <w:r>
        <w:rPr>
          <w:rFonts w:hint="eastAsia" w:ascii="Times New Roman" w:hAnsi="Times New Roman" w:eastAsia="仿宋_GB2312" w:cs="Times New Roman"/>
          <w:kern w:val="2"/>
          <w:sz w:val="32"/>
        </w:rPr>
        <w:t>家，具体包括：</w:t>
      </w:r>
      <w:r>
        <w:rPr>
          <w:rFonts w:hint="eastAsia" w:ascii="Times New Roman" w:hAnsi="Times New Roman" w:eastAsia="仿宋_GB2312" w:cs="Times New Roman"/>
          <w:kern w:val="2"/>
          <w:sz w:val="32"/>
          <w:lang w:val="en-US" w:eastAsia="zh-CN"/>
        </w:rPr>
        <w:t>包头市养老服务中心</w:t>
      </w:r>
      <w:r>
        <w:rPr>
          <w:rFonts w:hint="eastAsia" w:ascii="Times New Roman" w:hAnsi="Times New Roman" w:eastAsia="仿宋_GB2312" w:cs="Times New Roman"/>
          <w:kern w:val="2"/>
          <w:sz w:val="32"/>
        </w:rPr>
        <w:t>。</w:t>
      </w:r>
    </w:p>
    <w:p>
      <w:pPr>
        <w:pageBreakBefore w:val="0"/>
        <w:tabs>
          <w:tab w:val="left" w:pos="3532"/>
        </w:tabs>
        <w:kinsoku/>
        <w:wordWrap/>
        <w:overflowPunct/>
        <w:topLinePunct w:val="0"/>
        <w:autoSpaceDE w:val="0"/>
        <w:autoSpaceDN w:val="0"/>
        <w:bidi w:val="0"/>
        <w:adjustRightInd w:val="0"/>
        <w:spacing w:line="600" w:lineRule="exact"/>
        <w:jc w:val="center"/>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单位情况表</w:t>
      </w:r>
    </w:p>
    <w:tbl>
      <w:tblPr>
        <w:tblStyle w:val="22"/>
        <w:tblpPr w:leftFromText="180" w:rightFromText="180" w:vertAnchor="text" w:horzAnchor="page" w:tblpX="1745" w:tblpY="190"/>
        <w:tblOverlap w:val="never"/>
        <w:tblW w:w="9347" w:type="dxa"/>
        <w:tblInd w:w="0" w:type="dxa"/>
        <w:tblLayout w:type="fixed"/>
        <w:tblCellMar>
          <w:top w:w="0" w:type="dxa"/>
          <w:left w:w="108" w:type="dxa"/>
          <w:bottom w:w="0" w:type="dxa"/>
          <w:right w:w="108" w:type="dxa"/>
        </w:tblCellMar>
      </w:tblPr>
      <w:tblGrid>
        <w:gridCol w:w="876"/>
        <w:gridCol w:w="4043"/>
        <w:gridCol w:w="4428"/>
      </w:tblGrid>
      <w:tr>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rPr>
              <w:t>序号</w:t>
            </w:r>
          </w:p>
        </w:tc>
        <w:tc>
          <w:tcPr>
            <w:tcW w:w="4043"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_GB2312" w:hAnsi="Times New Roman" w:eastAsia="仿宋_GB2312" w:cs="Times New Roman"/>
                <w:color w:val="000000"/>
                <w:kern w:val="0"/>
                <w:sz w:val="31"/>
              </w:rPr>
              <w:t>单位名称</w:t>
            </w:r>
          </w:p>
        </w:tc>
        <w:tc>
          <w:tcPr>
            <w:tcW w:w="442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ascii="仿宋" w:hAnsi="仿宋" w:eastAsia="仿宋" w:cs="仿宋"/>
                <w:kern w:val="0"/>
                <w:sz w:val="30"/>
                <w:szCs w:val="30"/>
                <w:u w:val="none"/>
              </w:rPr>
            </w:pPr>
            <w:r>
              <w:rPr>
                <w:rFonts w:hint="eastAsia" w:ascii="仿宋_GB2312" w:hAnsi="Times New Roman" w:eastAsia="仿宋_GB2312" w:cs="Times New Roman"/>
                <w:color w:val="000000"/>
                <w:kern w:val="0"/>
                <w:sz w:val="31"/>
              </w:rPr>
              <w:t>单位性质</w:t>
            </w:r>
          </w:p>
        </w:tc>
      </w:tr>
      <w:tr>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center"/>
          </w:tcPr>
          <w:p>
            <w:pPr>
              <w:autoSpaceDE w:val="0"/>
              <w:autoSpaceDN w:val="0"/>
              <w:adjustRightInd w:val="0"/>
              <w:jc w:val="center"/>
              <w:rPr>
                <w:rFonts w:hint="eastAsia" w:ascii="仿宋_GB2312" w:hAnsi="Times New Roman" w:eastAsia="仿宋_GB2312" w:cs="Times New Roman"/>
                <w:color w:val="000000"/>
                <w:kern w:val="0"/>
                <w:sz w:val="31"/>
              </w:rPr>
            </w:pPr>
            <w:r>
              <w:rPr>
                <w:rFonts w:hint="eastAsia" w:ascii="仿宋_GB2312" w:hAnsi="Times New Roman" w:eastAsia="仿宋_GB2312" w:cs="Times New Roman"/>
                <w:color w:val="000000"/>
                <w:kern w:val="0"/>
                <w:sz w:val="31"/>
              </w:rPr>
              <w:t>1</w:t>
            </w:r>
          </w:p>
        </w:tc>
        <w:tc>
          <w:tcPr>
            <w:tcW w:w="4043"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rPr>
                <w:rFonts w:ascii="仿宋" w:hAnsi="仿宋" w:eastAsia="仿宋" w:cs="仿宋"/>
                <w:kern w:val="0"/>
                <w:sz w:val="30"/>
                <w:szCs w:val="30"/>
                <w:u w:val="none"/>
              </w:rPr>
            </w:pPr>
            <w:r>
              <w:rPr>
                <w:rFonts w:hint="eastAsia" w:ascii="仿宋_GB2312" w:hAnsi="Times New Roman" w:eastAsia="仿宋_GB2312" w:cs="Times New Roman"/>
                <w:color w:val="000000"/>
                <w:kern w:val="0"/>
                <w:sz w:val="31"/>
                <w:lang w:val="en-US" w:eastAsia="zh-CN"/>
              </w:rPr>
              <w:t>包头市养老服务中心</w:t>
            </w:r>
          </w:p>
        </w:tc>
        <w:tc>
          <w:tcPr>
            <w:tcW w:w="442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rPr>
                <w:rFonts w:ascii="仿宋" w:hAnsi="仿宋" w:eastAsia="仿宋" w:cs="仿宋"/>
                <w:kern w:val="0"/>
                <w:sz w:val="30"/>
                <w:szCs w:val="30"/>
                <w:u w:val="none"/>
              </w:rPr>
            </w:pPr>
            <w:r>
              <w:rPr>
                <w:rFonts w:hint="eastAsia" w:ascii="仿宋_GB2312" w:hAnsi="Times New Roman" w:eastAsia="仿宋_GB2312" w:cs="Times New Roman"/>
                <w:color w:val="000000"/>
                <w:kern w:val="0"/>
                <w:sz w:val="31"/>
                <w:lang w:val="en-US" w:eastAsia="zh-CN"/>
              </w:rPr>
              <w:t>公益一类事业单位</w:t>
            </w:r>
          </w:p>
        </w:tc>
      </w:tr>
    </w:tbl>
    <w:p>
      <w:pPr>
        <w:widowControl/>
        <w:spacing w:before="240" w:after="240"/>
        <w:jc w:val="left"/>
        <w:rPr>
          <w:rFonts w:hint="eastAsia" w:ascii="黑体" w:hAnsi="Times New Roman" w:eastAsia="黑体" w:cs="Times New Roman"/>
          <w:b/>
          <w:kern w:val="2"/>
          <w:sz w:val="32"/>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Times New Roman" w:eastAsia="黑体" w:cs="Times New Roman"/>
          <w:b/>
          <w:kern w:val="2"/>
          <w:sz w:val="32"/>
        </w:rPr>
        <w:t>  三、2023年度单位主要工作完成情况</w:t>
      </w:r>
    </w:p>
    <w:p>
      <w:pPr>
        <w:autoSpaceDE w:val="0"/>
        <w:autoSpaceDN w:val="0"/>
        <w:adjustRightInd w:val="0"/>
        <w:spacing w:line="560" w:lineRule="exact"/>
        <w:ind w:firstLine="640"/>
        <w:jc w:val="both"/>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rPr>
        <w:t>一、重点围绕全市担当作为狠抓落实动员大会精神，开展强化作风建设学习实践活动。结合相关学习资料，开展学习教育工作。并及时掌握了党的方针政策及国家发展方向。</w:t>
      </w:r>
    </w:p>
    <w:p>
      <w:pPr>
        <w:autoSpaceDE w:val="0"/>
        <w:autoSpaceDN w:val="0"/>
        <w:adjustRightInd w:val="0"/>
        <w:spacing w:line="560" w:lineRule="exact"/>
        <w:ind w:firstLine="640"/>
        <w:jc w:val="both"/>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rPr>
        <w:t>二、全力开展全市养老机构安全大排查整治行动和疫情防控工作，并持续跟进各旗县区开展养老机构疫情防控检查、核酸检测、消杀培训等工作进展情况；同时对全市养老机构自建房屋安全隐患及养老机构消防审验遗留问题进行排查及整治工作，有力保障了广大老年人的生命财产安全和身体健康。</w:t>
      </w:r>
    </w:p>
    <w:p>
      <w:pPr>
        <w:autoSpaceDE w:val="0"/>
        <w:autoSpaceDN w:val="0"/>
        <w:adjustRightInd w:val="0"/>
        <w:spacing w:line="560" w:lineRule="exact"/>
        <w:ind w:firstLine="640"/>
        <w:jc w:val="both"/>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rPr>
        <w:t>三、积极推进全市居家社区养老服务站点建设工作。实地深入</w:t>
      </w:r>
      <w:r>
        <w:rPr>
          <w:rFonts w:hint="default" w:ascii="Times New Roman" w:hAnsi="Times New Roman" w:eastAsia="仿宋_GB2312" w:cs="Times New Roman"/>
          <w:kern w:val="2"/>
          <w:sz w:val="32"/>
        </w:rPr>
        <w:t>10</w:t>
      </w:r>
      <w:r>
        <w:rPr>
          <w:rFonts w:hint="eastAsia" w:ascii="Times New Roman" w:hAnsi="Times New Roman" w:eastAsia="仿宋_GB2312" w:cs="Times New Roman"/>
          <w:kern w:val="2"/>
          <w:sz w:val="32"/>
        </w:rPr>
        <w:t>个旗县区摸排了解居家养老服务站点和养老机构建设运营情况，同时对服务站点建设运营档案进行规范化管理。</w:t>
      </w:r>
    </w:p>
    <w:p>
      <w:pPr>
        <w:pStyle w:val="3"/>
        <w:keepNext/>
        <w:keepLines/>
        <w:tabs>
          <w:tab w:val="left" w:pos="4392"/>
        </w:tabs>
        <w:autoSpaceDE w:val="0"/>
        <w:autoSpaceDN w:val="0"/>
        <w:adjustRightInd w:val="0"/>
        <w:spacing w:before="0" w:beforeLines="0" w:after="0" w:afterLines="0" w:line="360" w:lineRule="auto"/>
        <w:jc w:val="center"/>
        <w:rPr>
          <w:rFonts w:hint="eastAsia" w:ascii="方正小标宋简体" w:hAnsi="Times New Roman" w:eastAsia="方正小标宋简体" w:cs="Times New Roman"/>
          <w:b w:val="0"/>
          <w:bCs w:val="0"/>
          <w:kern w:val="2"/>
          <w:sz w:val="36"/>
          <w:szCs w:val="24"/>
        </w:rPr>
      </w:pPr>
      <w:r>
        <w:rPr>
          <w:rFonts w:hint="eastAsia" w:ascii="方正小标宋简体" w:hAnsi="Times New Roman" w:eastAsia="方正小标宋简体" w:cs="Times New Roman"/>
          <w:b w:val="0"/>
          <w:bCs w:val="0"/>
          <w:kern w:val="2"/>
          <w:sz w:val="36"/>
          <w:szCs w:val="24"/>
        </w:rPr>
        <w:t>第二部分  单位决算情况说明</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27"/>
          <w:szCs w:val="27"/>
        </w:rPr>
        <w:t> </w:t>
      </w:r>
      <w:r>
        <w:rPr>
          <w:rFonts w:hint="eastAsia" w:ascii="Times New Roman" w:hAnsi="Times New Roman" w:eastAsia="黑体" w:cs="黑体"/>
          <w:b w:val="0"/>
          <w:bCs w:val="0"/>
          <w:sz w:val="32"/>
          <w:szCs w:val="36"/>
          <w:u w:val="none"/>
        </w:rPr>
        <w:t xml:space="preserve">   </w:t>
      </w:r>
      <w:r>
        <w:rPr>
          <w:rFonts w:hint="eastAsia" w:ascii="黑体" w:hAnsi="Times New Roman" w:eastAsia="黑体" w:cs="Times New Roman"/>
          <w:b/>
          <w:kern w:val="2"/>
          <w:sz w:val="32"/>
        </w:rPr>
        <w:t>一、收入支出决算总体情况说明</w:t>
      </w:r>
    </w:p>
    <w:p>
      <w:pPr>
        <w:widowControl/>
        <w:spacing w:before="240" w:after="240"/>
        <w:rPr>
          <w:rFonts w:hint="eastAsia" w:ascii="Times New Roman" w:hAnsi="Times New Roman" w:eastAsia="仿宋_GB2312" w:cs="Times New Roman"/>
          <w:kern w:val="2"/>
          <w:sz w:val="32"/>
          <w:lang w:val="en-US" w:eastAsia="zh-CN"/>
        </w:rPr>
      </w:pPr>
      <w:r>
        <w:rPr>
          <w:rFonts w:ascii="fang_song_gb2312" w:hAnsi="fang_song_gb2312" w:eastAsia="fang_song_gb2312" w:cs="fang_song_gb2312"/>
          <w:kern w:val="0"/>
          <w:sz w:val="27"/>
          <w:szCs w:val="27"/>
        </w:rPr>
        <w:t xml:space="preserve">  </w:t>
      </w:r>
      <w:r>
        <w:rPr>
          <w:rFonts w:hint="default" w:ascii="Times New Roman" w:hAnsi="Times New Roman" w:eastAsia="仿宋_GB2312" w:cs="Times New Roman"/>
          <w:kern w:val="2"/>
          <w:sz w:val="32"/>
        </w:rPr>
        <w:t> </w:t>
      </w:r>
      <w:r>
        <w:rPr>
          <w:rFonts w:hint="eastAsia" w:ascii="Times New Roman" w:hAnsi="Times New Roman" w:eastAsia="仿宋_GB2312" w:cs="Times New Roman"/>
          <w:kern w:val="2"/>
          <w:sz w:val="32"/>
          <w:lang w:val="en-US" w:eastAsia="zh-CN"/>
        </w:rPr>
        <w:t xml:space="preserve"> 包头市养老服务中心2023年度收入、支出决算总计 781.57万元。与年初预算相比，收、支总计各增加 377.99万元，增长 93.66%，变动原因：上年结转增加和年中追加福彩公益金；与上年决算相比，收、支总计各减少87.52万元，减少10.07%。其中：</w:t>
      </w:r>
    </w:p>
    <w:p>
      <w:pPr>
        <w:widowControl/>
        <w:spacing w:before="240" w:after="240"/>
        <w:jc w:val="left"/>
        <w:rPr>
          <w:rFonts w:hint="eastAsia" w:ascii="楷体" w:hAnsi="Times New Roman" w:eastAsia="楷体" w:cs="Times New Roman"/>
          <w:b/>
          <w:kern w:val="2"/>
          <w:sz w:val="32"/>
          <w:lang w:val="en-US" w:eastAsia="zh-CN"/>
        </w:rPr>
      </w:pPr>
      <w:r>
        <w:rPr>
          <w:rFonts w:ascii="kai_ti_gb2312" w:hAnsi="kai_ti_gb2312" w:eastAsia="kai_ti_gb2312" w:cs="kai_ti_gb2312"/>
          <w:b/>
          <w:bCs/>
          <w:kern w:val="0"/>
          <w:sz w:val="27"/>
          <w:szCs w:val="27"/>
        </w:rPr>
        <w:t>   </w:t>
      </w:r>
      <w:r>
        <w:rPr>
          <w:rFonts w:hint="eastAsia" w:ascii="楷体" w:hAnsi="Times New Roman" w:eastAsia="楷体" w:cs="Times New Roman"/>
          <w:b/>
          <w:kern w:val="2"/>
          <w:sz w:val="32"/>
          <w:lang w:val="en-US" w:eastAsia="zh-CN"/>
        </w:rPr>
        <w:t xml:space="preserve"> （一）收入决算总计 781.57万元。包括：</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1.本年收入决算合计 509.35万元。与上年决算相比，增加 71.29万元，增长16.27%，变动原因：年中追加福彩公益金项目资金。</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2.使用非财政拨款结余和专用结余 0.00万元。与上年决算相比，增加（减少） 0.00万元，增长0%，变动原因：不存在此项内容。</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3.年初结转和结余 272.22万元。与上年决算相比，减少158.82万元，减少36.84%，变动原因：新项目的增加和项目执行进度加快。</w:t>
      </w:r>
    </w:p>
    <w:p>
      <w:pPr>
        <w:widowControl/>
        <w:spacing w:before="240" w:after="240"/>
        <w:jc w:val="left"/>
        <w:rPr>
          <w:rFonts w:hint="eastAsia" w:ascii="楷体" w:hAnsi="Times New Roman" w:eastAsia="楷体" w:cs="Times New Roman"/>
          <w:b/>
          <w:kern w:val="2"/>
          <w:sz w:val="32"/>
          <w:lang w:val="en-US" w:eastAsia="zh-CN"/>
        </w:rPr>
      </w:pPr>
      <w:r>
        <w:rPr>
          <w:rFonts w:ascii="kai_ti_gb2312" w:hAnsi="kai_ti_gb2312" w:eastAsia="kai_ti_gb2312" w:cs="kai_ti_gb2312"/>
          <w:b/>
          <w:bCs/>
          <w:kern w:val="0"/>
          <w:sz w:val="27"/>
          <w:szCs w:val="27"/>
        </w:rPr>
        <w:t>   </w:t>
      </w:r>
      <w:r>
        <w:rPr>
          <w:rFonts w:hint="eastAsia" w:ascii="楷体" w:hAnsi="Times New Roman" w:eastAsia="楷体" w:cs="Times New Roman"/>
          <w:b/>
          <w:kern w:val="2"/>
          <w:sz w:val="32"/>
        </w:rPr>
        <w:t xml:space="preserve"> </w:t>
      </w:r>
      <w:r>
        <w:rPr>
          <w:rFonts w:hint="eastAsia" w:ascii="楷体" w:hAnsi="Times New Roman" w:eastAsia="楷体" w:cs="Times New Roman"/>
          <w:b/>
          <w:kern w:val="2"/>
          <w:sz w:val="32"/>
          <w:lang w:val="en-US" w:eastAsia="zh-CN"/>
        </w:rPr>
        <w:t>（二）支出决算总计 781.57万元。包括：</w:t>
      </w:r>
    </w:p>
    <w:p>
      <w:pPr>
        <w:autoSpaceDE w:val="0"/>
        <w:autoSpaceDN w:val="0"/>
        <w:adjustRightInd w:val="0"/>
        <w:spacing w:line="560" w:lineRule="exact"/>
        <w:ind w:firstLine="640"/>
        <w:jc w:val="both"/>
        <w:rPr>
          <w:rFonts w:hint="default" w:ascii="Times New Roman" w:hAnsi="Times New Roman" w:eastAsia="仿宋_GB2312" w:cs="Times New Roman"/>
          <w:kern w:val="2"/>
          <w:sz w:val="32"/>
          <w:lang w:val="en-US" w:eastAsia="zh-CN"/>
        </w:rPr>
      </w:pPr>
      <w:r>
        <w:rPr>
          <w:rFonts w:hint="default" w:ascii="Times New Roman" w:hAnsi="Times New Roman" w:eastAsia="仿宋_GB2312" w:cs="Times New Roman"/>
          <w:kern w:val="2"/>
          <w:sz w:val="32"/>
          <w:lang w:val="en-US" w:eastAsia="zh-CN"/>
        </w:rPr>
        <w:t>1.本年支出决算合计 700.35万元。与上年决算相比，增加103.96万元，增长17.43%，变动原因：</w:t>
      </w:r>
      <w:r>
        <w:rPr>
          <w:rFonts w:hint="eastAsia" w:ascii="Times New Roman" w:hAnsi="Times New Roman" w:eastAsia="仿宋_GB2312" w:cs="Times New Roman"/>
          <w:kern w:val="2"/>
          <w:sz w:val="32"/>
          <w:lang w:val="en-US" w:eastAsia="zh-CN"/>
        </w:rPr>
        <w:t>新项目的增加和项目执行进度加快</w:t>
      </w:r>
      <w:r>
        <w:rPr>
          <w:rFonts w:hint="default" w:ascii="Times New Roman" w:hAnsi="Times New Roman" w:eastAsia="仿宋_GB2312" w:cs="Times New Roman"/>
          <w:kern w:val="2"/>
          <w:sz w:val="32"/>
          <w:lang w:val="en-US" w:eastAsia="zh-CN"/>
        </w:rPr>
        <w:t>。</w:t>
      </w:r>
    </w:p>
    <w:p>
      <w:pPr>
        <w:autoSpaceDE w:val="0"/>
        <w:autoSpaceDN w:val="0"/>
        <w:adjustRightInd w:val="0"/>
        <w:spacing w:line="560" w:lineRule="exact"/>
        <w:ind w:firstLine="640"/>
        <w:jc w:val="both"/>
        <w:rPr>
          <w:rFonts w:hint="default" w:ascii="Times New Roman" w:hAnsi="Times New Roman" w:eastAsia="仿宋_GB2312" w:cs="Times New Roman"/>
          <w:kern w:val="2"/>
          <w:sz w:val="32"/>
          <w:lang w:val="en-US" w:eastAsia="zh-CN"/>
        </w:rPr>
      </w:pPr>
      <w:r>
        <w:rPr>
          <w:rFonts w:hint="default" w:ascii="Times New Roman" w:hAnsi="Times New Roman" w:eastAsia="仿宋_GB2312" w:cs="Times New Roman"/>
          <w:kern w:val="2"/>
          <w:sz w:val="32"/>
          <w:lang w:val="en-US" w:eastAsia="zh-CN"/>
        </w:rPr>
        <w:t>2.结余分配 0.00万元。结余分配事项：</w:t>
      </w:r>
      <w:r>
        <w:rPr>
          <w:rFonts w:hint="eastAsia" w:ascii="Times New Roman" w:hAnsi="Times New Roman" w:eastAsia="仿宋_GB2312" w:cs="Times New Roman"/>
          <w:kern w:val="2"/>
          <w:sz w:val="32"/>
          <w:lang w:val="en-US" w:eastAsia="zh-CN"/>
        </w:rPr>
        <w:t>不存在此项内容</w:t>
      </w:r>
      <w:r>
        <w:rPr>
          <w:rFonts w:hint="default" w:ascii="Times New Roman" w:hAnsi="Times New Roman" w:eastAsia="仿宋_GB2312" w:cs="Times New Roman"/>
          <w:kern w:val="2"/>
          <w:sz w:val="32"/>
          <w:lang w:val="en-US" w:eastAsia="zh-CN"/>
        </w:rPr>
        <w:t>。与上年决算相比，减少0.48万元，减少100.00%，变动原因：财务管理更加规范和严格，对结余资金的使用和分配进行了更审慎的把控</w:t>
      </w:r>
    </w:p>
    <w:p>
      <w:pPr>
        <w:autoSpaceDE w:val="0"/>
        <w:autoSpaceDN w:val="0"/>
        <w:adjustRightInd w:val="0"/>
        <w:spacing w:line="560" w:lineRule="exact"/>
        <w:ind w:firstLine="640"/>
        <w:jc w:val="both"/>
        <w:rPr>
          <w:rFonts w:hint="eastAsia" w:ascii="Times New Roman" w:hAnsi="Times New Roman" w:eastAsia="仿宋_GB2312" w:cs="Times New Roman"/>
          <w:kern w:val="2"/>
          <w:sz w:val="32"/>
        </w:rPr>
      </w:pPr>
      <w:r>
        <w:rPr>
          <w:rFonts w:hint="default" w:ascii="Times New Roman" w:hAnsi="Times New Roman" w:eastAsia="仿宋_GB2312" w:cs="Times New Roman"/>
          <w:kern w:val="2"/>
          <w:sz w:val="32"/>
          <w:lang w:val="en-US" w:eastAsia="zh-CN"/>
        </w:rPr>
        <w:t>3.年末结转和结余 81.22万元。结转和结余事项：</w:t>
      </w:r>
      <w:r>
        <w:rPr>
          <w:rFonts w:hint="eastAsia" w:ascii="Times New Roman" w:hAnsi="Times New Roman" w:eastAsia="仿宋_GB2312" w:cs="Times New Roman"/>
          <w:kern w:val="2"/>
          <w:sz w:val="32"/>
          <w:lang w:val="en-US" w:eastAsia="zh-CN"/>
        </w:rPr>
        <w:t>智慧养老服务平台结转资金</w:t>
      </w:r>
      <w:r>
        <w:rPr>
          <w:rFonts w:hint="default" w:ascii="Times New Roman" w:hAnsi="Times New Roman" w:eastAsia="仿宋_GB2312" w:cs="Times New Roman"/>
          <w:kern w:val="2"/>
          <w:sz w:val="32"/>
          <w:lang w:val="en-US" w:eastAsia="zh-CN"/>
        </w:rPr>
        <w:t>。与上年决算相比，减少191.00万元，减少70.16%，变动原因：预算执行更加严格，对资金的使用和管理更加规范，减少了不必要的资金留存。</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黑体" w:hAnsi="Times New Roman" w:eastAsia="黑体" w:cs="Times New Roman"/>
          <w:b/>
          <w:kern w:val="2"/>
          <w:sz w:val="32"/>
        </w:rPr>
        <w:t xml:space="preserve"> 二、收入决算情况说明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包头市养老服务中心2023年度本年收入决算合计 509.35万元，其中：</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本年一般公共预算财政拨款收入 410.29万元，占 80.55%；</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本年政府性基金预算财政拨款收入 99.05万元，占 19.45%；</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本年国有资本经营预算财政拨款收入 0.00万元，占 0.00%；</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本年上级补助收入 0.00万元，占 0.00%；</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本年事业收入 0.00万元，占 0.00%；</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本年经营收入 0.00万元，占 0.00%；</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本年附属单位上缴收入 0.00万元，占 0.00%；</w:t>
      </w:r>
    </w:p>
    <w:p>
      <w:pPr>
        <w:autoSpaceDE w:val="0"/>
        <w:autoSpaceDN w:val="0"/>
        <w:adjustRightInd w:val="0"/>
        <w:spacing w:line="560" w:lineRule="exact"/>
        <w:ind w:firstLine="640"/>
        <w:jc w:val="both"/>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lang w:val="en-US" w:eastAsia="zh-CN"/>
        </w:rPr>
        <w:t>本年其他收入 0.00万元，占 0.00%。</w:t>
      </w:r>
    </w:p>
    <w:p>
      <w:pPr>
        <w:widowControl/>
        <w:spacing w:before="240" w:after="24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eastAsia="zh-CN"/>
        </w:rPr>
        <w:drawing>
          <wp:inline distT="0" distB="0" distL="114300" distR="114300">
            <wp:extent cx="4398010" cy="2242820"/>
            <wp:effectExtent l="4445" t="4445" r="17145" b="82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autoSpaceDE w:val="0"/>
        <w:autoSpaceDN w:val="0"/>
        <w:adjustRightInd w:val="0"/>
        <w:spacing w:line="560" w:lineRule="exact"/>
        <w:ind w:firstLine="640"/>
        <w:jc w:val="center"/>
        <w:rPr>
          <w:rFonts w:hint="default" w:ascii="仿宋_GB2312" w:hAnsi="Times New Roman" w:eastAsia="仿宋_GB2312" w:cs="Times New Roman"/>
          <w:kern w:val="2"/>
          <w:sz w:val="32"/>
        </w:rPr>
      </w:pPr>
      <w:r>
        <w:rPr>
          <w:rFonts w:hint="default" w:ascii="仿宋_GB2312" w:hAnsi="Times New Roman" w:eastAsia="仿宋_GB2312" w:cs="Times New Roman"/>
          <w:kern w:val="2"/>
          <w:sz w:val="32"/>
        </w:rPr>
        <w:t>图1.收入决算图</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27"/>
          <w:szCs w:val="27"/>
        </w:rPr>
        <w:t xml:space="preserve">  </w:t>
      </w:r>
      <w:r>
        <w:rPr>
          <w:rFonts w:hint="eastAsia" w:ascii="黑体" w:hAnsi="Times New Roman" w:eastAsia="黑体" w:cs="Times New Roman"/>
          <w:b/>
          <w:kern w:val="2"/>
          <w:sz w:val="32"/>
        </w:rPr>
        <w:t>  三、支出决算情况说明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包头市养老服务中心2023年度本年支出决算合计 700.35万元，其中：</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本年基本支出 339.08万元，占 48.42%；</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本年项目支出 361.27万元，占 51.58%；</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本年上缴上级支出 0.00万元，占 0.00%；</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本年经营支出 0.00万元，占 0.00%；</w:t>
      </w:r>
    </w:p>
    <w:p>
      <w:pPr>
        <w:autoSpaceDE w:val="0"/>
        <w:autoSpaceDN w:val="0"/>
        <w:adjustRightInd w:val="0"/>
        <w:spacing w:line="560" w:lineRule="exact"/>
        <w:ind w:firstLine="640"/>
        <w:jc w:val="both"/>
        <w:rPr>
          <w:rFonts w:hint="default" w:ascii="Times New Roman" w:hAnsi="Times New Roman" w:eastAsia="仿宋_GB2312" w:cs="Times New Roman"/>
          <w:kern w:val="2"/>
          <w:sz w:val="32"/>
        </w:rPr>
      </w:pPr>
      <w:r>
        <w:rPr>
          <w:rFonts w:hint="eastAsia" w:ascii="Times New Roman" w:hAnsi="Times New Roman" w:eastAsia="仿宋_GB2312" w:cs="Times New Roman"/>
          <w:kern w:val="2"/>
          <w:sz w:val="32"/>
          <w:lang w:val="en-US" w:eastAsia="zh-CN"/>
        </w:rPr>
        <w:t>本年对附属单位补助支出 0.00万元，占 0.00%。</w:t>
      </w:r>
    </w:p>
    <w:p>
      <w:pPr>
        <w:widowControl/>
        <w:spacing w:before="240" w:after="240"/>
        <w:jc w:val="center"/>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eastAsia="zh-CN"/>
        </w:rPr>
        <w:drawing>
          <wp:inline distT="0" distB="0" distL="114300" distR="114300">
            <wp:extent cx="4710430" cy="2243455"/>
            <wp:effectExtent l="4445" t="4445" r="9525" b="76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autoSpaceDE w:val="0"/>
        <w:autoSpaceDN w:val="0"/>
        <w:adjustRightInd w:val="0"/>
        <w:spacing w:line="560" w:lineRule="exact"/>
        <w:ind w:firstLine="640"/>
        <w:jc w:val="center"/>
        <w:rPr>
          <w:rFonts w:hint="default" w:ascii="仿宋_GB2312" w:hAnsi="Times New Roman" w:eastAsia="仿宋_GB2312" w:cs="Times New Roman"/>
          <w:kern w:val="2"/>
          <w:sz w:val="32"/>
        </w:rPr>
      </w:pPr>
      <w:r>
        <w:rPr>
          <w:rFonts w:hint="default" w:ascii="仿宋_GB2312" w:hAnsi="Times New Roman" w:eastAsia="仿宋_GB2312" w:cs="Times New Roman"/>
          <w:kern w:val="2"/>
          <w:sz w:val="32"/>
        </w:rPr>
        <w:t>图2.支出决算图</w:t>
      </w:r>
    </w:p>
    <w:p>
      <w:pPr>
        <w:widowControl/>
        <w:spacing w:before="240" w:after="240"/>
        <w:jc w:val="left"/>
        <w:rPr>
          <w:rFonts w:hint="eastAsia" w:ascii="黑体" w:hAnsi="Times New Roman" w:eastAsia="黑体" w:cs="Times New Roman"/>
          <w:b/>
          <w:kern w:val="2"/>
          <w:sz w:val="32"/>
        </w:rPr>
      </w:pPr>
      <w:r>
        <w:rPr>
          <w:rFonts w:hint="eastAsia" w:ascii="Times New Roman" w:hAnsi="Times New Roman" w:eastAsia="黑体" w:cs="黑体"/>
          <w:b w:val="0"/>
          <w:bCs w:val="0"/>
          <w:sz w:val="32"/>
          <w:szCs w:val="36"/>
          <w:u w:val="none"/>
        </w:rPr>
        <w:t> </w:t>
      </w:r>
      <w:r>
        <w:rPr>
          <w:rFonts w:hint="eastAsia" w:ascii="黑体" w:hAnsi="Times New Roman" w:eastAsia="黑体" w:cs="Times New Roman"/>
          <w:b/>
          <w:kern w:val="2"/>
          <w:sz w:val="32"/>
        </w:rPr>
        <w:t xml:space="preserve">   四、财政拨款收入支出决算总体情况说明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包头市养老服务中心2023年度财政拨款收入、支出决算总计 510.78万元，与年初预算相比，收、支总计各增加 107.20万元，增长26.56%，变动原因：新项目的增加；与上年决算相比，收、支总计各增加76.77万元，增长17.69%，变动原因：新项目的增加。</w:t>
      </w:r>
    </w:p>
    <w:p>
      <w:pPr>
        <w:widowControl/>
        <w:spacing w:before="240" w:after="240"/>
        <w:jc w:val="left"/>
        <w:rPr>
          <w:rFonts w:hint="eastAsia" w:ascii="黑体" w:hAnsi="Times New Roman" w:eastAsia="黑体" w:cs="Times New Roman"/>
          <w:b/>
          <w:kern w:val="2"/>
          <w:sz w:val="32"/>
        </w:rPr>
      </w:pPr>
      <w:r>
        <w:rPr>
          <w:rFonts w:hint="eastAsia" w:ascii="Times New Roman" w:hAnsi="Times New Roman" w:eastAsia="黑体" w:cs="黑体"/>
          <w:b w:val="0"/>
          <w:bCs w:val="0"/>
          <w:sz w:val="32"/>
          <w:szCs w:val="36"/>
          <w:u w:val="none"/>
        </w:rPr>
        <w:t xml:space="preserve">    </w:t>
      </w:r>
      <w:r>
        <w:rPr>
          <w:rFonts w:hint="eastAsia" w:ascii="黑体" w:hAnsi="Times New Roman" w:eastAsia="黑体" w:cs="Times New Roman"/>
          <w:b/>
          <w:kern w:val="2"/>
          <w:sz w:val="32"/>
        </w:rPr>
        <w:t>五、一般公共预算财政拨款支出决算情况说明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 2023年度一般公共预算财政拨款支出决算 410.29万元。与年初预算 403.58万元相比，完成年初预算的 101.66%。其中：</w:t>
      </w:r>
    </w:p>
    <w:p>
      <w:pPr>
        <w:widowControl/>
        <w:spacing w:before="240" w:after="240"/>
        <w:rPr>
          <w:rFonts w:hint="eastAsia" w:ascii="楷体" w:hAnsi="Times New Roman" w:eastAsia="楷体" w:cs="Times New Roman"/>
          <w:b/>
          <w:kern w:val="2"/>
          <w:sz w:val="32"/>
          <w:lang w:val="en-US" w:eastAsia="zh-CN"/>
        </w:rPr>
      </w:pPr>
      <w:r>
        <w:rPr>
          <w:rFonts w:hint="eastAsia" w:ascii="仿宋_GB2312" w:hAnsi="仿宋_GB2312" w:eastAsia="仿宋_GB2312" w:cs="仿宋_GB2312"/>
          <w:kern w:val="2"/>
          <w:sz w:val="32"/>
          <w:szCs w:val="32"/>
          <w:u w:val="none"/>
          <w:lang w:val="en-US" w:eastAsia="zh-CN" w:bidi="ar-SA"/>
        </w:rPr>
        <w:t>   </w:t>
      </w:r>
      <w:r>
        <w:rPr>
          <w:rFonts w:hint="eastAsia" w:ascii="楷体" w:hAnsi="Times New Roman" w:eastAsia="楷体" w:cs="Times New Roman"/>
          <w:b/>
          <w:kern w:val="2"/>
          <w:sz w:val="32"/>
          <w:lang w:val="en-US" w:eastAsia="zh-CN"/>
        </w:rPr>
        <w:t xml:space="preserve"> （一）社会保障和就业支出（类）</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社会保障和就业支出类决算数为 378.01万元，与年初预算相比增加8.55万元。其中：</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 xml:space="preserve"> </w:t>
      </w:r>
      <w:r>
        <w:rPr>
          <w:rFonts w:hint="default" w:ascii="Times New Roman" w:hAnsi="Times New Roman" w:eastAsia="仿宋_GB2312" w:cs="Times New Roman"/>
          <w:kern w:val="2"/>
          <w:sz w:val="32"/>
          <w:lang w:val="en-US" w:eastAsia="zh-CN"/>
        </w:rPr>
        <w:t>1</w:t>
      </w:r>
      <w:r>
        <w:rPr>
          <w:rFonts w:hint="eastAsia" w:ascii="Times New Roman" w:hAnsi="Times New Roman" w:eastAsia="仿宋_GB2312" w:cs="Times New Roman"/>
          <w:kern w:val="2"/>
          <w:sz w:val="32"/>
          <w:lang w:val="en-US" w:eastAsia="zh-CN"/>
        </w:rPr>
        <w:t>、民政管理事务（款）其他民政管理事务支出（项）年初预算310.07万元，支出决算329.49万元，完成年初预算的</w:t>
      </w:r>
      <w:r>
        <w:rPr>
          <w:rFonts w:hint="default" w:ascii="Times New Roman" w:hAnsi="Times New Roman" w:eastAsia="仿宋_GB2312" w:cs="Times New Roman"/>
          <w:kern w:val="2"/>
          <w:sz w:val="32"/>
          <w:lang w:val="en-US" w:eastAsia="zh-CN"/>
        </w:rPr>
        <w:t>10</w:t>
      </w:r>
      <w:r>
        <w:rPr>
          <w:rFonts w:hint="eastAsia" w:ascii="Times New Roman" w:hAnsi="Times New Roman" w:eastAsia="仿宋_GB2312" w:cs="Times New Roman"/>
          <w:kern w:val="2"/>
          <w:sz w:val="32"/>
          <w:lang w:val="en-US" w:eastAsia="zh-CN"/>
        </w:rPr>
        <w:t>6</w:t>
      </w:r>
      <w:r>
        <w:rPr>
          <w:rFonts w:hint="default" w:ascii="Times New Roman" w:hAnsi="Times New Roman" w:eastAsia="仿宋_GB2312" w:cs="Times New Roman"/>
          <w:kern w:val="2"/>
          <w:sz w:val="32"/>
          <w:lang w:val="en-US" w:eastAsia="zh-CN"/>
        </w:rPr>
        <w:t>.</w:t>
      </w:r>
      <w:r>
        <w:rPr>
          <w:rFonts w:hint="eastAsia" w:ascii="Times New Roman" w:hAnsi="Times New Roman" w:eastAsia="仿宋_GB2312" w:cs="Times New Roman"/>
          <w:kern w:val="2"/>
          <w:sz w:val="32"/>
          <w:lang w:val="en-US" w:eastAsia="zh-CN"/>
        </w:rPr>
        <w:t>26%。决算数与年初预算数的差异原因：人员工资上调。</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2．行政事业单位养老支出（款）事业单位离退休（项）。年初预算7.14万元，支出决算15.43万元，完成年初预算的216.11%。决算数与年初预算数的差异原因：退休人员增加。</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3．行政事业单位养老支出（款）机关事业单位基本养老保险缴费支出（项）。年初预算28.74万元，支出决算27.28万元，完成年初预算的94.92%。决算数与年初预算数的差异原因：退休职工中有去世人员。</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4．行政事业单位养老支出（款）机关事业单位职业年金缴费支出（项）。年初预算0万元，支出决算5.81万元，完成年初预算的100%。决算数与年初预算数的差异原因：退休人数增加，只有退休时可申请资金。</w:t>
      </w:r>
    </w:p>
    <w:p>
      <w:pPr>
        <w:widowControl/>
        <w:spacing w:before="240" w:after="240"/>
        <w:rPr>
          <w:rFonts w:hint="eastAsia" w:ascii="楷体" w:hAnsi="Times New Roman" w:eastAsia="楷体" w:cs="Times New Roman"/>
          <w:b/>
          <w:kern w:val="2"/>
          <w:sz w:val="32"/>
          <w:lang w:val="en-US" w:eastAsia="zh-CN"/>
        </w:rPr>
      </w:pPr>
      <w:r>
        <w:rPr>
          <w:rFonts w:hint="eastAsia" w:ascii="仿宋_GB2312" w:hAnsi="仿宋_GB2312" w:eastAsia="仿宋_GB2312" w:cs="仿宋_GB2312"/>
          <w:kern w:val="2"/>
          <w:sz w:val="32"/>
          <w:szCs w:val="32"/>
          <w:u w:val="none"/>
          <w:lang w:val="en-US" w:eastAsia="zh-CN" w:bidi="ar-SA"/>
        </w:rPr>
        <w:t xml:space="preserve">    </w:t>
      </w:r>
      <w:r>
        <w:rPr>
          <w:rFonts w:hint="eastAsia" w:ascii="楷体" w:hAnsi="Times New Roman" w:eastAsia="楷体" w:cs="Times New Roman"/>
          <w:b/>
          <w:kern w:val="2"/>
          <w:sz w:val="32"/>
          <w:lang w:val="en-US" w:eastAsia="zh-CN"/>
        </w:rPr>
        <w:t>（二）卫生健康支出（类）</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卫生健康支出类决算数为 10.94万元，与年初预算相比减少0.77万元。其中：</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1．行政事业单位医疗（款）事业单位医疗（项）。年初预算11.71万元，支出决算10.94万元，完成年初预算的93.42%。决算数与年初预算数的差异原因：退休人数增加。</w:t>
      </w:r>
    </w:p>
    <w:p>
      <w:pPr>
        <w:widowControl/>
        <w:spacing w:before="240" w:after="240"/>
        <w:rPr>
          <w:rFonts w:hint="eastAsia" w:ascii="楷体" w:hAnsi="Times New Roman" w:eastAsia="楷体" w:cs="Times New Roman"/>
          <w:b/>
          <w:kern w:val="2"/>
          <w:sz w:val="32"/>
          <w:lang w:val="en-US" w:eastAsia="zh-CN"/>
        </w:rPr>
      </w:pPr>
      <w:r>
        <w:rPr>
          <w:rFonts w:hint="eastAsia" w:ascii="仿宋_GB2312" w:hAnsi="仿宋_GB2312" w:eastAsia="仿宋_GB2312" w:cs="仿宋_GB2312"/>
          <w:kern w:val="2"/>
          <w:sz w:val="32"/>
          <w:szCs w:val="32"/>
          <w:u w:val="none"/>
          <w:lang w:val="en-US" w:eastAsia="zh-CN" w:bidi="ar-SA"/>
        </w:rPr>
        <w:t xml:space="preserve">    </w:t>
      </w:r>
      <w:r>
        <w:rPr>
          <w:rFonts w:hint="eastAsia" w:ascii="楷体" w:hAnsi="Times New Roman" w:eastAsia="楷体" w:cs="Times New Roman"/>
          <w:b/>
          <w:kern w:val="2"/>
          <w:sz w:val="32"/>
          <w:lang w:val="en-US" w:eastAsia="zh-CN"/>
        </w:rPr>
        <w:t>（三）住房保障支出（类）</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住房保障支出类决算数为 21.34万元，与年初预算相比减少1.07万元。其中：</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1．住房改革支出（款）住房公积金（项）。年初预算22.40万元，支出决算21.34万元，完成年初预算的95.27%。决算数与年初预算数的差异原因：退休人数增加。</w:t>
      </w:r>
    </w:p>
    <w:p>
      <w:pPr>
        <w:autoSpaceDE w:val="0"/>
        <w:autoSpaceDN w:val="0"/>
        <w:adjustRightInd w:val="0"/>
        <w:spacing w:line="600" w:lineRule="exact"/>
        <w:ind w:firstLine="643"/>
        <w:jc w:val="both"/>
        <w:rPr>
          <w:rFonts w:hint="eastAsia" w:ascii="黑体" w:hAnsi="Times New Roman" w:eastAsia="黑体" w:cs="Times New Roman"/>
          <w:b/>
          <w:kern w:val="2"/>
          <w:sz w:val="32"/>
        </w:rPr>
      </w:pPr>
      <w:r>
        <w:rPr>
          <w:rFonts w:hint="eastAsia" w:ascii="黑体" w:hAnsi="Times New Roman" w:eastAsia="黑体" w:cs="Times New Roman"/>
          <w:b/>
          <w:kern w:val="2"/>
          <w:sz w:val="32"/>
        </w:rPr>
        <w:t>    六、一般公共预算财政拨款基本支出决算情况说明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 2023年度一般公共预算财政拨款基本支出决算 339.08万元，其中：</w:t>
      </w:r>
    </w:p>
    <w:p>
      <w:pPr>
        <w:autoSpaceDE w:val="0"/>
        <w:autoSpaceDN w:val="0"/>
        <w:adjustRightInd w:val="0"/>
        <w:spacing w:line="560" w:lineRule="exact"/>
        <w:ind w:firstLine="643"/>
        <w:jc w:val="both"/>
        <w:rPr>
          <w:rFonts w:hint="eastAsia" w:ascii="Times New Roman" w:hAnsi="Times New Roman" w:eastAsia="仿宋_GB2312" w:cs="Times New Roman"/>
          <w:kern w:val="2"/>
          <w:sz w:val="32"/>
          <w:lang w:val="en-US" w:eastAsia="zh-CN"/>
        </w:rPr>
      </w:pPr>
      <w:r>
        <w:rPr>
          <w:rFonts w:hint="eastAsia" w:ascii="仿宋_GB2312" w:hAnsi="Times New Roman" w:eastAsia="仿宋_GB2312" w:cs="Times New Roman"/>
          <w:b/>
          <w:kern w:val="2"/>
          <w:sz w:val="32"/>
          <w:lang w:val="en-US" w:eastAsia="zh-CN"/>
        </w:rPr>
        <w:t>（一）人员经费 317.84万元。</w:t>
      </w:r>
      <w:r>
        <w:rPr>
          <w:rFonts w:hint="eastAsia" w:ascii="Times New Roman" w:hAnsi="Times New Roman" w:eastAsia="仿宋_GB2312" w:cs="Times New Roman"/>
          <w:kern w:val="2"/>
          <w:sz w:val="32"/>
          <w:lang w:val="en-US" w:eastAsia="zh-CN"/>
        </w:rPr>
        <w:t>主要包括：基本工资84.67万元、津贴补贴20.09万元、奖金45.89万元、绩效工资82.67万元、机关事业单位基本养老保险缴费27.28万元、职业年金缴费5.81万元、职工基本医疗保险缴费10.94万元、其他社会保障缴费3.72万元、住房公积金21.34万元、退休费15.43万元。</w:t>
      </w:r>
    </w:p>
    <w:p>
      <w:pPr>
        <w:autoSpaceDE w:val="0"/>
        <w:autoSpaceDN w:val="0"/>
        <w:adjustRightInd w:val="0"/>
        <w:spacing w:line="560" w:lineRule="exact"/>
        <w:ind w:firstLine="640"/>
        <w:jc w:val="both"/>
        <w:rPr>
          <w:rFonts w:hint="eastAsia" w:ascii="Times New Roman" w:hAnsi="Times New Roman" w:eastAsia="仿宋_GB2312" w:cs="Times New Roman"/>
          <w:kern w:val="2"/>
          <w:sz w:val="32"/>
        </w:rPr>
      </w:pPr>
      <w:r>
        <w:rPr>
          <w:rFonts w:hint="eastAsia" w:ascii="仿宋_GB2312" w:hAnsi="Times New Roman" w:eastAsia="仿宋_GB2312" w:cs="Times New Roman"/>
          <w:b/>
          <w:kern w:val="2"/>
          <w:sz w:val="32"/>
          <w:lang w:val="en-US" w:eastAsia="zh-CN"/>
        </w:rPr>
        <w:t>（二）公用经费 21.24万元。</w:t>
      </w:r>
      <w:r>
        <w:rPr>
          <w:rFonts w:hint="eastAsia" w:ascii="Times New Roman" w:hAnsi="Times New Roman" w:eastAsia="仿宋_GB2312" w:cs="Times New Roman"/>
          <w:kern w:val="2"/>
          <w:sz w:val="32"/>
          <w:lang w:val="en-US" w:eastAsia="zh-CN"/>
        </w:rPr>
        <w:t>主要包括：办公费4.16万元、印刷费0.52万元、邮电费0.1万元、差旅费1.17万元、维修（护）费0.15万元、培训费0.36万元、劳务费0.04万元、委托业务费0.78万元、工会经费3.59万元、福利费4.48万元、公务用车运行维护费2.50万元、其他商品和服务支出0.30万元、办公设备购置3.1万元。</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Times New Roman" w:eastAsia="黑体" w:cs="Times New Roman"/>
          <w:b/>
          <w:kern w:val="2"/>
          <w:sz w:val="32"/>
        </w:rPr>
        <w:t>  七、一般公共预算财政拨款项目支出决算情况说明</w:t>
      </w:r>
    </w:p>
    <w:p>
      <w:pPr>
        <w:widowControl/>
        <w:spacing w:before="240" w:after="240"/>
        <w:rPr>
          <w:rFonts w:hint="eastAsia" w:ascii="Times New Roman" w:hAnsi="Times New Roman" w:eastAsia="仿宋_GB2312" w:cs="Times New Roman"/>
          <w:kern w:val="2"/>
          <w:sz w:val="32"/>
          <w:lang w:val="en-US" w:eastAsia="zh-CN"/>
        </w:rPr>
      </w:pPr>
      <w:r>
        <w:rPr>
          <w:rFonts w:ascii="fang_song_gb2312" w:hAnsi="fang_song_gb2312" w:eastAsia="fang_song_gb2312" w:cs="fang_song_gb2312"/>
          <w:color w:val="0E00FE"/>
          <w:kern w:val="0"/>
          <w:sz w:val="27"/>
          <w:szCs w:val="27"/>
        </w:rPr>
        <w:t xml:space="preserve">    </w:t>
      </w:r>
      <w:r>
        <w:rPr>
          <w:rFonts w:ascii="fang_song_gb2312" w:hAnsi="fang_song_gb2312" w:eastAsia="fang_song_gb2312" w:cs="fang_song_gb2312"/>
          <w:kern w:val="0"/>
          <w:sz w:val="27"/>
          <w:szCs w:val="27"/>
        </w:rPr>
        <w:t> </w:t>
      </w:r>
      <w:r>
        <w:rPr>
          <w:rFonts w:hint="eastAsia" w:ascii="仿宋_GB2312" w:hAnsi="Times New Roman" w:eastAsia="仿宋_GB2312" w:cs="Times New Roman"/>
          <w:kern w:val="2"/>
          <w:sz w:val="32"/>
        </w:rPr>
        <w:t xml:space="preserve"> </w:t>
      </w:r>
      <w:r>
        <w:rPr>
          <w:rFonts w:hint="eastAsia" w:ascii="Times New Roman" w:hAnsi="Times New Roman" w:eastAsia="仿宋_GB2312" w:cs="Times New Roman"/>
          <w:kern w:val="2"/>
          <w:sz w:val="32"/>
          <w:lang w:val="en-US" w:eastAsia="zh-CN"/>
        </w:rPr>
        <w:t> 包头市养老服务中心 2023年度一般公共预算财政拨款项目支出决算 71.22万元，其中：</w:t>
      </w:r>
    </w:p>
    <w:p>
      <w:pPr>
        <w:autoSpaceDE w:val="0"/>
        <w:autoSpaceDN w:val="0"/>
        <w:adjustRightInd w:val="0"/>
        <w:spacing w:line="560" w:lineRule="exact"/>
        <w:ind w:firstLine="643"/>
        <w:jc w:val="both"/>
        <w:rPr>
          <w:rFonts w:hint="default" w:ascii="Times New Roman" w:hAnsi="Times New Roman" w:eastAsia="仿宋_GB2312" w:cs="Times New Roman"/>
          <w:kern w:val="2"/>
          <w:sz w:val="32"/>
          <w:lang w:val="en-US" w:eastAsia="zh-CN"/>
        </w:rPr>
      </w:pPr>
      <w:r>
        <w:rPr>
          <w:rFonts w:hint="eastAsia" w:ascii="仿宋_GB2312" w:hAnsi="Times New Roman" w:eastAsia="仿宋_GB2312" w:cs="Times New Roman"/>
          <w:b/>
          <w:color w:val="000000"/>
          <w:kern w:val="2"/>
          <w:sz w:val="32"/>
        </w:rPr>
        <w:t>（一）工资福利支出 0.84万元。</w:t>
      </w:r>
      <w:r>
        <w:rPr>
          <w:rFonts w:hint="eastAsia" w:ascii="Times New Roman" w:hAnsi="Times New Roman" w:eastAsia="仿宋_GB2312" w:cs="Times New Roman"/>
          <w:kern w:val="2"/>
          <w:sz w:val="32"/>
          <w:lang w:val="en-US" w:eastAsia="zh-CN"/>
        </w:rPr>
        <w:t>主要包括其他工资福利支出0.84万元。由项目非在编人员经费支出3个月，后续非在编人员解聘。</w:t>
      </w:r>
    </w:p>
    <w:p>
      <w:pPr>
        <w:autoSpaceDE w:val="0"/>
        <w:autoSpaceDN w:val="0"/>
        <w:adjustRightInd w:val="0"/>
        <w:spacing w:line="560" w:lineRule="exact"/>
        <w:ind w:firstLine="643"/>
        <w:jc w:val="both"/>
        <w:rPr>
          <w:rFonts w:hint="default" w:ascii="Times New Roman" w:hAnsi="Times New Roman" w:eastAsia="仿宋_GB2312" w:cs="Times New Roman"/>
          <w:kern w:val="2"/>
          <w:sz w:val="32"/>
        </w:rPr>
      </w:pPr>
      <w:r>
        <w:rPr>
          <w:rFonts w:hint="eastAsia" w:ascii="仿宋_GB2312" w:hAnsi="Times New Roman" w:eastAsia="仿宋_GB2312" w:cs="Times New Roman"/>
          <w:b/>
          <w:color w:val="000000"/>
          <w:kern w:val="2"/>
          <w:sz w:val="32"/>
        </w:rPr>
        <w:t>（二）商品和服务支出 70.38万元。</w:t>
      </w:r>
      <w:r>
        <w:rPr>
          <w:rFonts w:hint="eastAsia" w:ascii="Times New Roman" w:hAnsi="Times New Roman" w:eastAsia="仿宋_GB2312" w:cs="Times New Roman"/>
          <w:kern w:val="2"/>
          <w:sz w:val="32"/>
          <w:lang w:val="en-US" w:eastAsia="zh-CN"/>
        </w:rPr>
        <w:t>主要包括：咨询费0.5万元、电费2.13万元、物业管理费57.33万元、维修（护）费10.41万元。</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 </w:t>
      </w:r>
      <w:r>
        <w:rPr>
          <w:rFonts w:hint="eastAsia" w:ascii="黑体" w:hAnsi="Times New Roman" w:eastAsia="黑体" w:cs="Times New Roman"/>
          <w:b/>
          <w:kern w:val="2"/>
          <w:sz w:val="32"/>
        </w:rPr>
        <w:t xml:space="preserve"> 八、财政拨款“三公”经费支出决算情况说明</w:t>
      </w:r>
    </w:p>
    <w:p>
      <w:pPr>
        <w:widowControl/>
        <w:spacing w:before="240" w:after="240"/>
        <w:jc w:val="left"/>
        <w:rPr>
          <w:rFonts w:hint="eastAsia" w:ascii="楷体" w:hAnsi="Times New Roman" w:eastAsia="楷体" w:cs="Times New Roman"/>
          <w:b/>
          <w:kern w:val="2"/>
          <w:sz w:val="32"/>
        </w:rPr>
      </w:pPr>
      <w:r>
        <w:rPr>
          <w:rFonts w:ascii="kai_ti_gb2312" w:hAnsi="kai_ti_gb2312" w:eastAsia="kai_ti_gb2312" w:cs="kai_ti_gb2312"/>
          <w:b/>
          <w:bCs/>
          <w:kern w:val="0"/>
          <w:sz w:val="27"/>
          <w:szCs w:val="27"/>
        </w:rPr>
        <w:t>   </w:t>
      </w:r>
      <w:r>
        <w:rPr>
          <w:rFonts w:ascii="fang_song_gb2312" w:hAnsi="fang_song_gb2312" w:eastAsia="fang_song_gb2312" w:cs="fang_song_gb2312"/>
          <w:b/>
          <w:bCs/>
          <w:kern w:val="0"/>
          <w:sz w:val="27"/>
          <w:szCs w:val="27"/>
        </w:rPr>
        <w:t xml:space="preserve"> </w:t>
      </w:r>
      <w:r>
        <w:rPr>
          <w:rFonts w:hint="eastAsia" w:ascii="楷体" w:hAnsi="Times New Roman" w:eastAsia="楷体" w:cs="Times New Roman"/>
          <w:b/>
          <w:kern w:val="2"/>
          <w:sz w:val="32"/>
        </w:rPr>
        <w:t>（一）财政拨款“三公”经费支出总体情况说明。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rPr>
      </w:pPr>
      <w:r>
        <w:rPr>
          <w:rFonts w:hint="eastAsia" w:ascii="Times New Roman" w:hAnsi="Times New Roman" w:eastAsia="仿宋_GB2312" w:cs="Times New Roman"/>
          <w:kern w:val="2"/>
          <w:sz w:val="32"/>
          <w:lang w:val="en-US" w:eastAsia="zh-CN"/>
        </w:rPr>
        <w:t>包头市养老服务中心 2023年度财政拨款“三公”经费全年预算 2.50万元，支出决算 2.50万元，完成预算的100%。其中：因公出国（境）费全年预算 0.00万元，支出决算 0.00万元，完成预算的0%；公务用车购置及运行维护费全年预算 2.50万元，支出决算 2.50万元，完成预算的 100%；公务接待费全年预算 0.00万元，支出决算 0.00万元，完成预算的0%。2023年度一般公共预算财政拨款“三公”经费支出决算与预算差异原因无差异。</w:t>
      </w:r>
    </w:p>
    <w:p>
      <w:pPr>
        <w:widowControl/>
        <w:spacing w:before="240" w:after="240"/>
        <w:jc w:val="left"/>
        <w:rPr>
          <w:rFonts w:hint="eastAsia" w:ascii="楷体" w:hAnsi="Times New Roman" w:eastAsia="楷体" w:cs="Times New Roman"/>
          <w:b/>
          <w:kern w:val="2"/>
          <w:sz w:val="32"/>
        </w:rPr>
      </w:pPr>
      <w:r>
        <w:rPr>
          <w:rFonts w:ascii="kai_ti_gb2312" w:hAnsi="kai_ti_gb2312" w:eastAsia="kai_ti_gb2312" w:cs="kai_ti_gb2312"/>
          <w:b/>
          <w:bCs/>
          <w:kern w:val="0"/>
          <w:sz w:val="27"/>
          <w:szCs w:val="27"/>
        </w:rPr>
        <w:t xml:space="preserve">  </w:t>
      </w:r>
      <w:r>
        <w:rPr>
          <w:rFonts w:hint="eastAsia" w:ascii="黑体" w:hAnsi="黑体" w:eastAsia="黑体" w:cs="黑体"/>
          <w:b/>
          <w:bCs/>
          <w:kern w:val="0"/>
          <w:sz w:val="32"/>
          <w:szCs w:val="32"/>
        </w:rPr>
        <w:t xml:space="preserve">  </w:t>
      </w:r>
      <w:r>
        <w:rPr>
          <w:rFonts w:hint="eastAsia" w:ascii="楷体" w:hAnsi="Times New Roman" w:eastAsia="楷体" w:cs="Times New Roman"/>
          <w:b/>
          <w:kern w:val="2"/>
          <w:sz w:val="32"/>
        </w:rPr>
        <w:t>（二）财政拨款“三公”经费支出具体情况说明。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 2023年度财政拨款“三公”经费支出 2.50万元。因公出国（境）费支出 0.00万元，占 0.00%；公务用车购置及运行维护费支出 2.50万元，占 100.00%；公务接待费支出 0.00万元，占 0.00%。其中：</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1.因公出国（境）费支出 0.00万元，全年出国（境）团组0 个，累计0 人次。与上年决算相比，增加0.00万元，增长0%，变动原因：不存在此项内容。</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2.公务用车购置及运行维护费支出 2.50万元。其中：</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（1）公务用车购置支出 0.00万元。本年度使用财政拨款购置公务用车0 辆，开支内容：不存在此项内容。与上年决算相比，增加0.00万元，增长0%，变动原因：不存在此项内容。</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（2）公务用车运行维护费支出 2.50万元。公务用车运行维护费主要用于按规定保留的公务用车的燃料费、维修费、过桥过路费、保险费、安全奖励费用等支出。截至2023年12月31日，使用财政拨款开支的公务用车保有量为2 辆。与上年决算相比，减少0.09万元，减少3.51%，变动原因：公车检车由第三方代检。</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3.公务接待费支出 0.00万元。其中：国内公务接待支出 0.00万元，接待0 批次，0 人次，开支内容：不存在此项内容；国（境）外公务接待支出 0.00万元，接待0 批次，0 人次，开支内容：不存在此项内容。与上年决算相比，增加0.00万元，增长0%，变动原因：不存在此项内容。</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黑体" w:hAnsi="Times New Roman" w:eastAsia="黑体" w:cs="Times New Roman"/>
          <w:b/>
          <w:kern w:val="2"/>
          <w:sz w:val="32"/>
        </w:rPr>
        <w:t xml:space="preserve"> 九、政府性基金预算财政拨款支出决算情况说明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 2023年度政府性基金预算财政拨款支出决算 99.05万元。与上年决算相比，增加 96.39万元，增长3,612.47%，变动原因：新项目的增加。其中：</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（一）其他支出（类）彩票公益金安排的支出（款）用于社会福利的彩票公益金支出（项）支出99.05万元，主要用于民政福利园区修缮和养老服务平台运维。</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27"/>
          <w:szCs w:val="27"/>
        </w:rPr>
        <w:t> </w:t>
      </w:r>
      <w:r>
        <w:rPr>
          <w:rFonts w:hint="eastAsia" w:ascii="黑体" w:hAnsi="黑体" w:eastAsia="黑体" w:cs="黑体"/>
          <w:b/>
          <w:bCs/>
          <w:kern w:val="0"/>
          <w:sz w:val="32"/>
          <w:szCs w:val="32"/>
        </w:rPr>
        <w:t xml:space="preserve"> </w:t>
      </w:r>
      <w:r>
        <w:rPr>
          <w:rFonts w:hint="eastAsia" w:ascii="黑体" w:hAnsi="Times New Roman" w:eastAsia="黑体" w:cs="Times New Roman"/>
          <w:b/>
          <w:kern w:val="2"/>
          <w:sz w:val="32"/>
        </w:rPr>
        <w:t>  十、国有资本经营预算财政拨款支出决算情况说明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 2023年度国有资本经营预算财政拨款支出决算 0.00万元。与上年决算相比，增加 0.00万元，增长0%，变动原因：本单位无国有资本经营预算财政拨款收、支、余。</w:t>
      </w:r>
    </w:p>
    <w:p>
      <w:pPr>
        <w:widowControl/>
        <w:spacing w:before="240" w:after="240"/>
        <w:rPr>
          <w:rFonts w:hint="eastAsia" w:ascii="黑体" w:hAnsi="Times New Roman" w:eastAsia="黑体" w:cs="Times New Roman"/>
          <w:b/>
          <w:kern w:val="2"/>
          <w:sz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hint="eastAsia" w:ascii="黑体" w:hAnsi="Times New Roman" w:eastAsia="黑体" w:cs="Times New Roman"/>
          <w:b/>
          <w:kern w:val="2"/>
          <w:sz w:val="32"/>
        </w:rPr>
        <w:t xml:space="preserve"> 十一、机构运行经费支出决算情况说明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包头市养老服务中心2023年度机构运行经费支出决算 21.24万元。比上年决算相比，增加 4.23万元，增长 24.86%，变动原因：办公用品的增加。</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黑体" w:hAnsi="Times New Roman" w:eastAsia="黑体" w:cs="Times New Roman"/>
          <w:b/>
          <w:kern w:val="2"/>
          <w:sz w:val="32"/>
        </w:rPr>
        <w:t xml:space="preserve"> 十二、政府采购支出决算情况说明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包头市养老服务中心2023年度政府采购支出总额 49.23万元，其中：政府采购货物支出 3.27万元、政府采购工程支出 0.00万元、政府采购服务支出 45.96万元。政府采购授予中小企业合同金额 1.97万元，占政府采购支出总额的4%，其中：授予小微企业合同金额 0.65万元，占政府采购支出总额的1.32%；货物采购授予中小企业合同金额占货物支出金额的0%，工程采购授予中小企业合同金额占工程支出金额的0%，服务采购授予中小企业合同金额占服务支出金额的0%。</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27"/>
          <w:szCs w:val="27"/>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hint="eastAsia" w:ascii="黑体" w:hAnsi="Times New Roman" w:eastAsia="黑体" w:cs="Times New Roman"/>
          <w:b/>
          <w:kern w:val="2"/>
          <w:sz w:val="32"/>
        </w:rPr>
        <w:t xml:space="preserve"> 十三、国有资产占用情况说明</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 截至2023年12月31日，本单位共有车辆 2辆，其中：副部（省）级及以上领导用车0 辆、主要负责人用车 0辆、机要通信用车2辆、应急保障用车 0辆、执法执勤用车 0辆、特种专业技术用车 0辆、离退休干部服务用车 0辆，其他用车 0辆；单价100万元（含）以上的设备（不含车辆） 0台（套）。</w:t>
      </w:r>
    </w:p>
    <w:p>
      <w:pPr>
        <w:widowControl/>
        <w:spacing w:before="240" w:after="240"/>
        <w:jc w:val="left"/>
        <w:rPr>
          <w:rFonts w:hint="eastAsia" w:ascii="黑体" w:hAnsi="Times New Roman" w:eastAsia="黑体" w:cs="Times New Roman"/>
          <w:b/>
          <w:kern w:val="2"/>
          <w:sz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hint="eastAsia" w:ascii="黑体" w:hAnsi="Times New Roman" w:eastAsia="黑体" w:cs="Times New Roman"/>
          <w:b/>
          <w:kern w:val="2"/>
          <w:sz w:val="32"/>
        </w:rPr>
        <w:t xml:space="preserve"> 十四、预算绩效情况说明</w:t>
      </w:r>
    </w:p>
    <w:p>
      <w:pPr>
        <w:widowControl/>
        <w:spacing w:before="240" w:after="240"/>
        <w:jc w:val="left"/>
        <w:rPr>
          <w:rFonts w:hint="eastAsia" w:ascii="黑体" w:hAnsi="黑体" w:eastAsia="黑体" w:cs="黑体"/>
          <w:kern w:val="0"/>
          <w:sz w:val="32"/>
          <w:szCs w:val="32"/>
        </w:rPr>
      </w:pPr>
      <w:r>
        <w:rPr>
          <w:rFonts w:ascii="kai_ti_gb2312" w:hAnsi="kai_ti_gb2312" w:eastAsia="kai_ti_gb2312" w:cs="kai_ti_gb2312"/>
          <w:b/>
          <w:bCs/>
          <w:kern w:val="0"/>
          <w:sz w:val="27"/>
          <w:szCs w:val="27"/>
        </w:rPr>
        <w:t>   </w:t>
      </w:r>
      <w:r>
        <w:rPr>
          <w:rFonts w:hint="eastAsia" w:ascii="黑体" w:hAnsi="黑体" w:eastAsia="黑体" w:cs="黑体"/>
          <w:b/>
          <w:bCs/>
          <w:kern w:val="0"/>
          <w:sz w:val="32"/>
          <w:szCs w:val="32"/>
        </w:rPr>
        <w:t xml:space="preserve"> （一）预算绩效管理工作开展情况。</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 根据预算绩效管理要求组织对2023年一般公共预算项目支出全面开展绩效自评，其中一级项目3个，二级项目0个，共涉及资金71.22万元，占一般公共预算项目支出总额的100%；政府性基金预算项目2个，其中，一级项目2个，二级项目0个，共涉及资金99.05万元，占应纳入绩效自评的政府性基金预算项目支出总额的100%。</w:t>
      </w:r>
    </w:p>
    <w:p>
      <w:pPr>
        <w:widowControl/>
        <w:spacing w:before="240" w:after="240"/>
        <w:jc w:val="left"/>
        <w:rPr>
          <w:rFonts w:hint="eastAsia" w:ascii="黑体" w:hAnsi="黑体" w:eastAsia="黑体" w:cs="黑体"/>
          <w:kern w:val="0"/>
          <w:sz w:val="32"/>
          <w:szCs w:val="32"/>
        </w:rPr>
      </w:pPr>
      <w:r>
        <w:rPr>
          <w:rFonts w:ascii="kai_ti_gb2312" w:hAnsi="kai_ti_gb2312" w:eastAsia="kai_ti_gb2312" w:cs="kai_ti_gb2312"/>
          <w:b/>
          <w:bCs/>
          <w:kern w:val="0"/>
          <w:sz w:val="27"/>
          <w:szCs w:val="27"/>
        </w:rPr>
        <w:t xml:space="preserve">    </w:t>
      </w:r>
      <w:r>
        <w:rPr>
          <w:rFonts w:hint="eastAsia" w:ascii="黑体" w:hAnsi="黑体" w:eastAsia="黑体" w:cs="黑体"/>
          <w:b/>
          <w:bCs/>
          <w:kern w:val="0"/>
          <w:sz w:val="32"/>
          <w:szCs w:val="32"/>
        </w:rPr>
        <w:t>（二）单位决算中项目绩效自评结果。</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包头市养老服务中心 2023年度在决算中反映3个一般公共预算项目，以及2个政府性基金项目，共5个项目的绩效自评结果。</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1.园区运行管理经费项目自评综述：根据年初设定的绩效目标，</w:t>
      </w:r>
      <w:r>
        <w:rPr>
          <w:rFonts w:hint="eastAsia" w:ascii="Times New Roman" w:hAnsi="Times New Roman" w:eastAsia="仿宋_GB2312" w:cs="Times New Roman"/>
          <w:kern w:val="2"/>
          <w:sz w:val="32"/>
          <w:lang w:val="en-US" w:eastAsia="zh-CN"/>
        </w:rPr>
        <w:t>项目自评得分100分。全年预算数为50.38万元，执行数为50.38万元，完成预算的</w:t>
      </w:r>
      <w:r>
        <w:rPr>
          <w:rFonts w:hint="default" w:ascii="Times New Roman" w:hAnsi="Times New Roman" w:eastAsia="仿宋_GB2312" w:cs="Times New Roman"/>
          <w:kern w:val="2"/>
          <w:sz w:val="32"/>
          <w:lang w:val="en-US" w:eastAsia="zh-CN"/>
        </w:rPr>
        <w:t>100</w:t>
      </w:r>
      <w:r>
        <w:rPr>
          <w:rFonts w:hint="eastAsia" w:ascii="Times New Roman" w:hAnsi="Times New Roman" w:eastAsia="仿宋_GB2312" w:cs="Times New Roman"/>
          <w:kern w:val="2"/>
          <w:sz w:val="32"/>
          <w:lang w:val="en-US" w:eastAsia="zh-CN"/>
        </w:rPr>
        <w:t>%。项目绩效目标完成情况：通过园区运行管理经费项目的实施后，达到民政福利园区正常运行，园区内供养人员生活稳定，园区职工工作顺畅的效果。发现的主要问题及原因：园区管理仍有需要加强的地方。下一步改进措施：加强相关人员学习培训。</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868"/>
        <w:gridCol w:w="868"/>
        <w:gridCol w:w="804"/>
        <w:gridCol w:w="804"/>
        <w:gridCol w:w="808"/>
        <w:gridCol w:w="808"/>
        <w:gridCol w:w="804"/>
        <w:gridCol w:w="813"/>
        <w:gridCol w:w="805"/>
        <w:gridCol w:w="837"/>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2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园区运行管理经费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包头市民政局（部门）</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包头市养老服务中心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50.38</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50.38</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50.38</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包头市人民政府关于《包头市民政福利园区和残疾人综合服务基地建设方案》，园区净地面积约8万平方米，具体项目包括市级综合老年养老院、社会福利院、儿童福利院、社会救助管理站、市救灾物资储备库和理疗康复中心庭院面积76135.9平方米，绿化面积38531.5平方米</w:t>
            </w:r>
          </w:p>
        </w:tc>
        <w:tc>
          <w:tcPr>
            <w:tcW w:w="20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通过园区运行管理经费项目的实施后，达到了民政福利园区正常平稳运行，园区内供养人员能够生活稳定，园区职工能够工作顺畅。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物业管理面积</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物业服务人员</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物业服务范围覆盖率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物业服务质量验收合格率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物业服务时限</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公共区域设备维护维修时间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物业管理费用</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50.38</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上年有结余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保障园区内供养人员正常生活</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有效保障</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有效保障</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民政园区自然环境干净整洁</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确保民政园区正常运行</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效果显著</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供养人员与园区职工满意度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2.非在编人员经费项目自评综述：根据年初设定的绩效目标，项目自评得分84.52分。全年预算数为5万元，执行数为0.84万元，完成预算的16.8%。项目绩效目标完成情况：本年度实际聘请编制外人员1名，非在编人员的加入使我单位的慈善捐助科工作圆满完成了部分任务，保障了单位工作的正常开展。发现的主要问题及原因：外聘人员解聘。下一步改进措施：无。</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0"/>
        <w:gridCol w:w="860"/>
        <w:gridCol w:w="860"/>
        <w:gridCol w:w="796"/>
        <w:gridCol w:w="796"/>
        <w:gridCol w:w="800"/>
        <w:gridCol w:w="846"/>
        <w:gridCol w:w="846"/>
        <w:gridCol w:w="805"/>
        <w:gridCol w:w="797"/>
        <w:gridCol w:w="829"/>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项目支出绩效自评表</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2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非在编人员经费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包头市民政局（部门）</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包头市养老服务中心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非在编人员经费5万元，人员工资按时足额发放完成全年工作任务。</w:t>
            </w:r>
          </w:p>
        </w:tc>
        <w:tc>
          <w:tcPr>
            <w:tcW w:w="20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本年度实际聘请编制外人员1名，非在编人员的加入使我单位的慈善捐助科工作圆满完成</w:t>
            </w:r>
            <w:r>
              <w:rPr>
                <w:rFonts w:hint="eastAsia" w:ascii="宋体" w:hAnsi="宋体" w:eastAsia="宋体" w:cs="宋体"/>
                <w:i w:val="0"/>
                <w:iCs w:val="0"/>
                <w:color w:val="000000"/>
                <w:kern w:val="0"/>
                <w:sz w:val="18"/>
                <w:szCs w:val="18"/>
                <w:u w:val="none"/>
                <w:lang w:val="en-US" w:eastAsia="zh-CN" w:bidi="ar"/>
              </w:rPr>
              <w:t>了部分任务，保障了单位工作的正常开展。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指标方向</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非在编人员人数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非在编人员聘用年限</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非在编人员月工资</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2083.33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2083.33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非在编人员月工作天数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非在编人员工资发放时效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外聘人员辞退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非在编人员工作时效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全年非在编人员工资金额</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外聘人员辞退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非在编人员月工资</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2083.33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2083.33</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熟悉单位规章制度和办事流程工作认真负责</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工作认真负责积极热情受到捐赠单位和群众的认可</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工作质量得到领导和同事的认可日常工作得以圆满完成</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做到单位领导和同事的认可也得到了捐赠单位和群众的称赞</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大于等于</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3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3.园区绿化费项目自评综述：根据年初设定的绩效目标，项目自评得分100分。全年预算数为20万元，执行数为20万元，完成预算的</w:t>
      </w:r>
      <w:r>
        <w:rPr>
          <w:rFonts w:hint="default" w:ascii="Times New Roman" w:hAnsi="Times New Roman" w:eastAsia="仿宋_GB2312" w:cs="Times New Roman"/>
          <w:kern w:val="2"/>
          <w:sz w:val="32"/>
          <w:lang w:val="en-US" w:eastAsia="zh-CN"/>
        </w:rPr>
        <w:t>100</w:t>
      </w:r>
      <w:r>
        <w:rPr>
          <w:rFonts w:hint="eastAsia" w:ascii="Times New Roman" w:hAnsi="Times New Roman" w:eastAsia="仿宋_GB2312" w:cs="Times New Roman"/>
          <w:kern w:val="2"/>
          <w:sz w:val="32"/>
          <w:lang w:val="en-US" w:eastAsia="zh-CN"/>
        </w:rPr>
        <w:t>%。项目绩效目标完成情况：通过园区绿化经费项目的实施后，达到了民政福利园区正常平稳运行，园区内供养人员能够生活稳定，园区职工能够工作顺畅。发现的主要问题及原因：绿化管理仍有需要加强的地方。下一步改进措施：加强相关人员学习培训。</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30"/>
        <w:gridCol w:w="781"/>
        <w:gridCol w:w="1072"/>
        <w:gridCol w:w="1365"/>
        <w:gridCol w:w="632"/>
        <w:gridCol w:w="638"/>
        <w:gridCol w:w="783"/>
        <w:gridCol w:w="783"/>
        <w:gridCol w:w="642"/>
        <w:gridCol w:w="486"/>
        <w:gridCol w:w="486"/>
        <w:gridCol w:w="1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项目支出绩效自评表</w:t>
            </w:r>
            <w:r>
              <w:rPr>
                <w:rFonts w:hint="eastAsia" w:ascii="宋体" w:hAnsi="宋体" w:eastAsia="宋体" w:cs="宋体"/>
                <w:b/>
                <w:bCs/>
                <w:i w:val="0"/>
                <w:iCs w:val="0"/>
                <w:color w:val="000000"/>
                <w:kern w:val="0"/>
                <w:sz w:val="40"/>
                <w:szCs w:val="40"/>
                <w:u w:val="none"/>
                <w:bdr w:val="none" w:color="auto" w:sz="0" w:space="0"/>
                <w:lang w:val="en-US" w:eastAsia="zh-CN" w:bidi="ar"/>
              </w:rPr>
              <w:br w:type="textWrapping"/>
            </w:r>
            <w:r>
              <w:rPr>
                <w:rFonts w:hint="eastAsia" w:ascii="宋体" w:hAnsi="宋体" w:eastAsia="宋体" w:cs="宋体"/>
                <w:b/>
                <w:bCs/>
                <w:i w:val="0"/>
                <w:iCs w:val="0"/>
                <w:color w:val="000000"/>
                <w:kern w:val="0"/>
                <w:sz w:val="40"/>
                <w:szCs w:val="40"/>
                <w:u w:val="none"/>
                <w:bdr w:val="none" w:color="auto" w:sz="0" w:space="0"/>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2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4273" w:type="pct"/>
            <w:gridSpan w:val="10"/>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园区绿化经费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26"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w:t>
            </w:r>
          </w:p>
        </w:tc>
        <w:tc>
          <w:tcPr>
            <w:tcW w:w="1896"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包头市民政局（部门）</w:t>
            </w:r>
          </w:p>
        </w:tc>
        <w:tc>
          <w:tcPr>
            <w:tcW w:w="80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1573"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包头市养老服务中心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26"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547"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年初预算数</w:t>
            </w:r>
          </w:p>
        </w:tc>
        <w:tc>
          <w:tcPr>
            <w:tcW w:w="6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全年预算数</w:t>
            </w:r>
          </w:p>
        </w:tc>
        <w:tc>
          <w:tcPr>
            <w:tcW w:w="80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全年执行数</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4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p>
        </w:tc>
        <w:tc>
          <w:tcPr>
            <w:tcW w:w="8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2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年度资金总额</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80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4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8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2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其中：财政拨款</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6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80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4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84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2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上年结转资金</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32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4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w:t>
            </w:r>
          </w:p>
        </w:tc>
        <w:tc>
          <w:tcPr>
            <w:tcW w:w="84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72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其他资金</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5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04"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32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c>
          <w:tcPr>
            <w:tcW w:w="40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842"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u w:val="none"/>
              </w:rPr>
            </w:pPr>
            <w:r>
              <w:rPr>
                <w:rFonts w:hint="default" w:ascii="Arial" w:hAnsi="Arial" w:eastAsia="宋体" w:cs="Arial"/>
                <w:i w:val="0"/>
                <w:iCs w:val="0"/>
                <w:color w:val="222222"/>
                <w:kern w:val="0"/>
                <w:sz w:val="19"/>
                <w:szCs w:val="19"/>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26"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年度总体目标</w:t>
            </w:r>
          </w:p>
        </w:tc>
        <w:tc>
          <w:tcPr>
            <w:tcW w:w="2298"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预期目标</w:t>
            </w:r>
          </w:p>
        </w:tc>
        <w:tc>
          <w:tcPr>
            <w:tcW w:w="197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726"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298"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通过园区绿化经费项目的实施后，达到了民政福利园区正常平稳运行，园区内供养人员能够生活稳定，园区职工能够工作顺畅。</w:t>
            </w:r>
          </w:p>
        </w:tc>
        <w:tc>
          <w:tcPr>
            <w:tcW w:w="1975"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通过园区绿化经费项目的实施后，</w:t>
            </w:r>
            <w:r>
              <w:rPr>
                <w:rFonts w:hint="eastAsia" w:ascii="宋体" w:hAnsi="宋体" w:eastAsia="宋体" w:cs="宋体"/>
                <w:i w:val="0"/>
                <w:iCs w:val="0"/>
                <w:color w:val="000000"/>
                <w:kern w:val="0"/>
                <w:sz w:val="18"/>
                <w:szCs w:val="18"/>
                <w:u w:val="none"/>
                <w:lang w:val="en-US" w:eastAsia="zh-CN" w:bidi="ar"/>
              </w:rPr>
              <w:t>确保</w:t>
            </w:r>
            <w:r>
              <w:rPr>
                <w:rFonts w:hint="eastAsia" w:ascii="宋体" w:hAnsi="宋体" w:eastAsia="宋体" w:cs="宋体"/>
                <w:i w:val="0"/>
                <w:iCs w:val="0"/>
                <w:color w:val="000000"/>
                <w:kern w:val="0"/>
                <w:sz w:val="18"/>
                <w:szCs w:val="18"/>
                <w:u w:val="none"/>
                <w:bdr w:val="none" w:color="auto" w:sz="0" w:space="0"/>
                <w:lang w:val="en-US" w:eastAsia="zh-CN" w:bidi="ar"/>
              </w:rPr>
              <w:t>了民政福利园区正常平稳运行，园区内供养人员能够生活稳定，园区职工能够工作顺畅。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2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一级指标</w:t>
            </w:r>
          </w:p>
        </w:tc>
        <w:tc>
          <w:tcPr>
            <w:tcW w:w="54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三级指标</w:t>
            </w:r>
          </w:p>
        </w:tc>
        <w:tc>
          <w:tcPr>
            <w:tcW w:w="32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指标性质</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4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年度指标值</w:t>
            </w:r>
          </w:p>
        </w:tc>
        <w:tc>
          <w:tcPr>
            <w:tcW w:w="40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实际完成值</w:t>
            </w:r>
          </w:p>
        </w:tc>
        <w:tc>
          <w:tcPr>
            <w:tcW w:w="3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分值</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得分</w:t>
            </w:r>
          </w:p>
        </w:tc>
        <w:tc>
          <w:tcPr>
            <w:tcW w:w="84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400"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54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绿化管理面积</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23070</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23070</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平方米</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绿化服务人员</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人</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绿化范围覆盖率</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绿化质量验收合格率</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绿化服务时限</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等于</w:t>
            </w: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绿化设备维护维修时间</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绿化管理费用</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成本节约率</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反向</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小于等于</w:t>
            </w: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54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w:t>
            </w: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保障园区内供养人员正常生活</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327"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有效保障</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有效保障</w:t>
            </w:r>
          </w:p>
        </w:tc>
        <w:tc>
          <w:tcPr>
            <w:tcW w:w="327"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生态效益</w:t>
            </w: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民政园区自然环境干净整洁</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327"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效果显著</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效果显著</w:t>
            </w:r>
          </w:p>
        </w:tc>
        <w:tc>
          <w:tcPr>
            <w:tcW w:w="327"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54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可持续影响</w:t>
            </w: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确保民政园区正常运行</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w:t>
            </w:r>
          </w:p>
        </w:tc>
        <w:tc>
          <w:tcPr>
            <w:tcW w:w="327"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效果显著</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效果显著</w:t>
            </w:r>
          </w:p>
        </w:tc>
        <w:tc>
          <w:tcPr>
            <w:tcW w:w="327"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25" w:type="pct"/>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00"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54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w:t>
            </w:r>
          </w:p>
        </w:tc>
        <w:tc>
          <w:tcPr>
            <w:tcW w:w="694"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供养人员与园区职工满意度</w:t>
            </w:r>
          </w:p>
        </w:tc>
        <w:tc>
          <w:tcPr>
            <w:tcW w:w="326"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正向</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大于等于</w:t>
            </w:r>
          </w:p>
        </w:tc>
        <w:tc>
          <w:tcPr>
            <w:tcW w:w="4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40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98</w:t>
            </w:r>
          </w:p>
        </w:tc>
        <w:tc>
          <w:tcPr>
            <w:tcW w:w="327"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01"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842" w:type="pct"/>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754"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总分</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bl>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4.养老服务平台运营经费项目自评综述：根据年初设定的绩效目标，项目自评得分90.1分。全年预算数为140万元，执行数为84.99万元，完成预算的60.71%。项目绩效目标完成情况：加快养老服务产业发展和养老服务产品消费由传统养老服务向智慧化转变。发现的主要问题及原因：资金支出进度需加快。下一步改进措施：加强相关政采人员学习培训。</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1021"/>
        <w:gridCol w:w="1423"/>
        <w:gridCol w:w="306"/>
        <w:gridCol w:w="1222"/>
        <w:gridCol w:w="2228"/>
        <w:gridCol w:w="1222"/>
        <w:gridCol w:w="644"/>
        <w:gridCol w:w="820"/>
        <w:gridCol w:w="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10"/>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84"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215" w:type="pct"/>
            <w:gridSpan w:val="8"/>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养老服务平台建设经费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84"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包头市民政局</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05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包头市养老服务中心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841" w:type="pct"/>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5"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1089"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59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32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39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33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84.998</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其中：自治区本级福彩公益金</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84.998</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306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1、丰富养老服务需求； 2、提高服务品质； </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加快养老服务产业发展和养老服务产品消费由传统养老服务向智慧化转变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产出指标(50分）</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项目要求</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100%（见1、《包头市民政局采购包头市智慧养老服务平台采购项目》[BTSZCS-G-F-21005]；           2、《包头市养老服务平台项目推进计划表》）。</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建设运营目标</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100%（见1、《包头市民政局采购包头市智慧养老服务平台采购项目》[BTSZCS-G-F-21005]；           2、《包头市养老服务平台项目推进计划表》）。</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8"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100%（见1、《包头市民政局采购包头市智慧养老服务平台采购项目》[BTSZCS-G-F-21005]；           2、《包头市养老服务平台项目推进计划表》）。</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建设运营费用</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100%（见1、《包头市民政局采购包头市智慧养老服务平台采购项目》[BTSZCS-G-F-21005]；           2、《包头市养老服务平台项目推进计划表》）。</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效益指标(30分）</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1、加快养老服务产业发展；2、服务产品消费使传统养老服务向智慧化转变。</w:t>
            </w:r>
          </w:p>
        </w:tc>
        <w:tc>
          <w:tcPr>
            <w:tcW w:w="10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5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1、缓解了养老服务需求与供给不对等压力；2、减轻家庭成员投入养老负担；3、丰富老年人精神文化生活；4、为社会公共养老事业提供更完善优质服务。</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1、通过老年人需求增加，政府投入养老服务资源加大力度，满足老年人群体服务多样化、智慧化需求，养老服务市场逐渐成熟； 2、通过老年人需求不断丰富，养老从业人员数量不断增大，服务素养提升； 3、通过回访加强养老服务质量监管。</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指标(10分）</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满意度指标</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1、丰富养老服务需求； 2、提高服务品质； 3、增加政府服务公信。</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4" w:type="pct"/>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1、服务满意度平均值为100分；2、100%服务回访。</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94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5.民政福利园区修缮经费项目自评综述：根据年初设定的绩效目标，项目自评得分97分。全年预算数为20万元，执行数为14.1万元，完成预算的70%。项目绩效目标完成情况：通过园区修缮经费项目的实施后，保障园区各项工作正常运转，及时解决临近居民的矛盾，提升了园区内供养人员生活水平。发现的主要问题及原因：资金支出进度需加快。下一步改进措施：加强</w:t>
      </w:r>
      <w:r>
        <w:rPr>
          <w:rFonts w:hint="default" w:ascii="Times New Roman" w:hAnsi="Times New Roman" w:eastAsia="仿宋_GB2312" w:cs="Times New Roman"/>
          <w:kern w:val="2"/>
          <w:sz w:val="32"/>
          <w:lang w:val="en-US" w:eastAsia="zh-CN"/>
        </w:rPr>
        <w:t>财务管理规范和严格</w:t>
      </w:r>
      <w:r>
        <w:rPr>
          <w:rFonts w:hint="eastAsia" w:ascii="Times New Roman" w:hAnsi="Times New Roman" w:eastAsia="仿宋_GB2312" w:cs="Times New Roman"/>
          <w:kern w:val="2"/>
          <w:sz w:val="32"/>
          <w:lang w:val="en-US" w:eastAsia="zh-CN"/>
        </w:rPr>
        <w:t>。</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1103"/>
        <w:gridCol w:w="1257"/>
        <w:gridCol w:w="609"/>
        <w:gridCol w:w="1422"/>
        <w:gridCol w:w="1443"/>
        <w:gridCol w:w="1336"/>
        <w:gridCol w:w="692"/>
        <w:gridCol w:w="876"/>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000" w:type="pct"/>
            <w:gridSpan w:val="10"/>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63" w:type="pct"/>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136" w:type="pct"/>
            <w:gridSpan w:val="8"/>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民政福利园区修缮经费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63"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34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包头市民政局</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0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包头市养老服务中心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858" w:type="pct"/>
            <w:gridSpan w:val="2"/>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9"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766"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w:t>
            </w:r>
          </w:p>
        </w:tc>
        <w:tc>
          <w:tcPr>
            <w:tcW w:w="694"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w:t>
            </w:r>
          </w:p>
        </w:tc>
        <w:tc>
          <w:tcPr>
            <w:tcW w:w="3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0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w:t>
            </w:r>
          </w:p>
        </w:tc>
        <w:tc>
          <w:tcPr>
            <w:tcW w:w="34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其中：自治区本级福彩公益金</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其他资金</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年度总体目标</w:t>
            </w:r>
          </w:p>
        </w:tc>
        <w:tc>
          <w:tcPr>
            <w:tcW w:w="292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预期目标</w:t>
            </w:r>
          </w:p>
        </w:tc>
        <w:tc>
          <w:tcPr>
            <w:tcW w:w="17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通过园区修缮经费项目的实施，保障园区的安全和畅通，及时解决临近居民的矛盾，提升园区内供养人员生活水平。</w:t>
            </w:r>
          </w:p>
        </w:tc>
        <w:tc>
          <w:tcPr>
            <w:tcW w:w="17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通过园区修缮经费项目的实施后，保障了园区的安全和畅通，及时解决临近居民的矛盾，提升了园区内供养人员生活水平。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年度指标值</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偏差原因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产出指标(50分）</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开挖管沟长度</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修复破损混凝土路面长度</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防洪尼龙沙袋</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修复水毁围墙</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零星维修及时率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水毁围墙修复率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道路修复率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绿化引水覆盖率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道路、护坡硬化维修时限</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绿化引水时限</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零星维修期限</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水毁围墙维修期限</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零星维修费用</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水毁围墙维修费用</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道路、护坡硬化维修费用</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绿化引水费用</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换热站移交维修改造远程监控费用</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效益指标(30分）</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保障园区各项工作正常运转</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有效保障</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持续保障园区正常运行</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长期有效</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满意度指标(10分）</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供养人员与园区职工满意度</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0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widowControl/>
        <w:spacing w:before="240" w:after="240"/>
        <w:jc w:val="left"/>
        <w:rPr>
          <w:rFonts w:ascii="kai_ti_gb2312" w:hAnsi="kai_ti_gb2312" w:eastAsia="kai_ti_gb2312" w:cs="kai_ti_gb2312"/>
          <w:b/>
          <w:bCs/>
          <w:kern w:val="0"/>
          <w:sz w:val="27"/>
          <w:szCs w:val="27"/>
        </w:rPr>
      </w:pPr>
    </w:p>
    <w:p>
      <w:pPr>
        <w:autoSpaceDE w:val="0"/>
        <w:autoSpaceDN w:val="0"/>
        <w:adjustRightInd w:val="0"/>
        <w:ind w:firstLine="643"/>
        <w:jc w:val="both"/>
        <w:rPr>
          <w:rFonts w:hint="eastAsia" w:ascii="楷体" w:hAnsi="Times New Roman" w:eastAsia="楷体" w:cs="Times New Roman"/>
          <w:b/>
          <w:kern w:val="2"/>
          <w:sz w:val="32"/>
        </w:rPr>
      </w:pPr>
      <w:r>
        <w:rPr>
          <w:rFonts w:hint="eastAsia" w:ascii="楷体" w:hAnsi="Times New Roman" w:eastAsia="楷体" w:cs="Times New Roman"/>
          <w:b/>
          <w:kern w:val="2"/>
          <w:sz w:val="32"/>
        </w:rPr>
        <w:t>（三）单位项目绩效评价结果。</w:t>
      </w:r>
    </w:p>
    <w:p>
      <w:pPr>
        <w:autoSpaceDE w:val="0"/>
        <w:autoSpaceDN w:val="0"/>
        <w:adjustRightInd w:val="0"/>
        <w:spacing w:line="560" w:lineRule="exact"/>
        <w:ind w:firstLine="640"/>
        <w:jc w:val="both"/>
        <w:rPr>
          <w:rFonts w:hint="eastAsia" w:ascii="Times New Roman" w:hAnsi="Times New Roman" w:eastAsia="仿宋_GB2312" w:cs="Times New Roman"/>
          <w:kern w:val="2"/>
          <w:sz w:val="32"/>
          <w:lang w:val="en-US" w:eastAsia="zh-CN"/>
        </w:rPr>
      </w:pPr>
      <w:r>
        <w:rPr>
          <w:rFonts w:hint="eastAsia" w:ascii="Times New Roman" w:hAnsi="Times New Roman" w:eastAsia="仿宋_GB2312" w:cs="Times New Roman"/>
          <w:kern w:val="2"/>
          <w:sz w:val="32"/>
          <w:lang w:val="en-US" w:eastAsia="zh-CN"/>
        </w:rPr>
        <w:t> 我单位无重点绩效评价项目。</w:t>
      </w:r>
    </w:p>
    <w:p>
      <w:pPr>
        <w:widowControl/>
        <w:spacing w:before="240" w:after="240"/>
        <w:jc w:val="left"/>
        <w:rPr>
          <w:rFonts w:ascii="Times New Roman" w:hAnsi="Times New Roman" w:eastAsia="Times New Roman" w:cs="Times New Roman"/>
          <w:kern w:val="0"/>
          <w:sz w:val="24"/>
        </w:rPr>
      </w:pPr>
    </w:p>
    <w:p>
      <w:pPr>
        <w:pStyle w:val="3"/>
        <w:keepNext/>
        <w:keepLines/>
        <w:tabs>
          <w:tab w:val="left" w:pos="4392"/>
        </w:tabs>
        <w:autoSpaceDE w:val="0"/>
        <w:autoSpaceDN w:val="0"/>
        <w:adjustRightInd w:val="0"/>
        <w:spacing w:before="0" w:beforeLines="0" w:after="0" w:afterLines="0" w:line="360" w:lineRule="auto"/>
        <w:jc w:val="center"/>
        <w:rPr>
          <w:rFonts w:hint="eastAsia" w:ascii="方正小标宋简体" w:hAnsi="Times New Roman" w:eastAsia="方正小标宋简体" w:cs="Times New Roman"/>
          <w:b w:val="0"/>
          <w:bCs w:val="0"/>
          <w:kern w:val="2"/>
          <w:sz w:val="36"/>
          <w:szCs w:val="24"/>
        </w:rPr>
      </w:pPr>
      <w:r>
        <w:rPr>
          <w:rFonts w:hint="eastAsia" w:ascii="方正小标宋简体" w:hAnsi="Times New Roman" w:eastAsia="方正小标宋简体" w:cs="Times New Roman"/>
          <w:b w:val="0"/>
          <w:bCs w:val="0"/>
          <w:kern w:val="2"/>
          <w:sz w:val="36"/>
          <w:szCs w:val="24"/>
        </w:rPr>
        <w:t>第三部分  名词解释</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一、财政拨款收入：</w:t>
      </w:r>
      <w:r>
        <w:rPr>
          <w:rFonts w:hint="eastAsia" w:ascii="仿宋_GB2312" w:hAnsi="Times New Roman" w:eastAsia="仿宋_GB2312" w:cs="Times New Roman"/>
          <w:kern w:val="2"/>
          <w:sz w:val="32"/>
        </w:rPr>
        <w:t>从同级财政部门取得的各类财政拨款，包括一般公共预算财政拨款、政府性基金预算财政拨款、国有资本经营预算财政拨款。</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二、上级补助收入：</w:t>
      </w:r>
      <w:r>
        <w:rPr>
          <w:rFonts w:hint="eastAsia" w:ascii="仿宋_GB2312" w:hAnsi="Times New Roman" w:eastAsia="仿宋_GB2312" w:cs="Times New Roman"/>
          <w:kern w:val="2"/>
          <w:sz w:val="32"/>
        </w:rPr>
        <w:t>指事业单位从主管部门和上级单位取得的非财政补助收入。</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三、财政专户管理教育收费：</w:t>
      </w:r>
      <w:r>
        <w:rPr>
          <w:rFonts w:hint="eastAsia" w:ascii="仿宋_GB2312" w:hAnsi="Times New Roman" w:eastAsia="仿宋_GB2312" w:cs="Times New Roman"/>
          <w:kern w:val="2"/>
          <w:sz w:val="32"/>
        </w:rPr>
        <w:t>指缴入财政专户、实行专项管理的高中以上学费、住宿费、高校委托培养费、函大、电大、夜大及短训班培训费等教育收费。</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四、事业收入：</w:t>
      </w:r>
      <w:r>
        <w:rPr>
          <w:rFonts w:hint="eastAsia" w:ascii="仿宋_GB2312" w:hAnsi="Times New Roman" w:eastAsia="仿宋_GB2312" w:cs="Times New Roman"/>
          <w:kern w:val="2"/>
          <w:sz w:val="32"/>
        </w:rPr>
        <w:t>指事业单位开展专业业务活动及其辅助活动取得的收入。</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五、经营收入：</w:t>
      </w:r>
      <w:r>
        <w:rPr>
          <w:rFonts w:hint="eastAsia" w:ascii="仿宋_GB2312" w:hAnsi="Times New Roman" w:eastAsia="仿宋_GB2312" w:cs="Times New Roman"/>
          <w:kern w:val="2"/>
          <w:sz w:val="32"/>
        </w:rPr>
        <w:t>指事业单位在专业业务活动及其辅助活动之外开展非独立核算经营活动取得的收入。</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六、附属单位上缴收入：</w:t>
      </w:r>
      <w:r>
        <w:rPr>
          <w:rFonts w:hint="eastAsia" w:ascii="仿宋_GB2312" w:hAnsi="Times New Roman" w:eastAsia="仿宋_GB2312" w:cs="Times New Roman"/>
          <w:kern w:val="2"/>
          <w:sz w:val="32"/>
        </w:rPr>
        <w:t>指事业单位取得附属独立核算单位按照有关规定上缴的收入。</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七、其他收入：</w:t>
      </w:r>
      <w:r>
        <w:rPr>
          <w:rFonts w:hint="eastAsia" w:ascii="仿宋_GB2312" w:hAnsi="Times New Roman" w:eastAsia="仿宋_GB2312" w:cs="Times New Roman"/>
          <w:kern w:val="2"/>
          <w:sz w:val="32"/>
        </w:rPr>
        <w:t>取得的除上述“财政拨款收入”、“上级补助收入”、“事业收入”、“经营收入”、“附属单位上缴收入”等以外的各项收入。</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八、使用非财政拨款结余和专用结余：</w:t>
      </w:r>
      <w:r>
        <w:rPr>
          <w:rFonts w:hint="eastAsia" w:ascii="仿宋_GB2312" w:hAnsi="Times New Roman" w:eastAsia="仿宋_GB2312" w:cs="Times New Roman"/>
          <w:kern w:val="2"/>
          <w:sz w:val="32"/>
        </w:rPr>
        <w:t>指事业单位按照预算管理要求使用非财政拨款结余和专用结余弥补当年收支差额的数额。</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九、年初结转和结余：</w:t>
      </w:r>
      <w:r>
        <w:rPr>
          <w:rFonts w:hint="eastAsia" w:ascii="仿宋_GB2312" w:hAnsi="Times New Roman" w:eastAsia="仿宋_GB2312" w:cs="Times New Roman"/>
          <w:kern w:val="2"/>
          <w:sz w:val="32"/>
        </w:rPr>
        <w:t>指单位上年结转本年使用的基本支出结转、项目支出结转和结余、经营结余。</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十、结余分配：</w:t>
      </w:r>
      <w:r>
        <w:rPr>
          <w:rFonts w:hint="eastAsia" w:ascii="仿宋_GB2312" w:hAnsi="Times New Roman" w:eastAsia="仿宋_GB2312" w:cs="Times New Roman"/>
          <w:kern w:val="2"/>
          <w:sz w:val="32"/>
        </w:rPr>
        <w:t>指事业单位按规定缴纳企业所得税以及从非财政拨款结余或经营结余中提取各类结余的情况。</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十一、年末结转和结余资金：</w:t>
      </w:r>
      <w:r>
        <w:rPr>
          <w:rFonts w:hint="eastAsia" w:ascii="仿宋_GB2312" w:hAnsi="Times New Roman" w:eastAsia="仿宋_GB2312" w:cs="Times New Roman"/>
          <w:kern w:val="2"/>
          <w:sz w:val="32"/>
        </w:rPr>
        <w:t>指单位结转下年的基本支出结转、项目支出结转和结余、经营结余。</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十二、基本支出：</w:t>
      </w:r>
      <w:r>
        <w:rPr>
          <w:rFonts w:hint="eastAsia" w:ascii="仿宋_GB2312" w:hAnsi="Times New Roman" w:eastAsia="仿宋_GB2312" w:cs="Times New Roman"/>
          <w:kern w:val="2"/>
          <w:sz w:val="32"/>
        </w:rPr>
        <w:t>指为保障机构正常运转、完成日常工作任务所发生的支出，包括人员经费和公用经费。</w:t>
      </w:r>
    </w:p>
    <w:p>
      <w:pPr>
        <w:autoSpaceDE w:val="0"/>
        <w:autoSpaceDN w:val="0"/>
        <w:adjustRightInd w:val="0"/>
        <w:spacing w:line="560" w:lineRule="exact"/>
        <w:ind w:firstLine="643"/>
        <w:jc w:val="both"/>
        <w:rPr>
          <w:rFonts w:hint="eastAsia" w:ascii="宋体" w:hAnsi="宋体" w:eastAsia="宋体" w:cs="宋体"/>
          <w:kern w:val="0"/>
          <w:sz w:val="32"/>
          <w:szCs w:val="32"/>
        </w:rPr>
      </w:pPr>
      <w:r>
        <w:rPr>
          <w:rFonts w:hint="eastAsia" w:ascii="仿宋_GB2312" w:hAnsi="Times New Roman" w:eastAsia="仿宋_GB2312" w:cs="Times New Roman"/>
          <w:b/>
          <w:kern w:val="2"/>
          <w:sz w:val="32"/>
        </w:rPr>
        <w:t>十三、项目支出：</w:t>
      </w:r>
      <w:r>
        <w:rPr>
          <w:rFonts w:hint="eastAsia" w:ascii="宋体" w:hAnsi="宋体" w:eastAsia="宋体" w:cs="宋体"/>
          <w:kern w:val="0"/>
          <w:sz w:val="32"/>
          <w:szCs w:val="32"/>
        </w:rPr>
        <w:t>指在为完成特定的工作任务和事业发展目标所发生的支出。</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十四、上缴上级支出：</w:t>
      </w:r>
      <w:r>
        <w:rPr>
          <w:rFonts w:hint="eastAsia" w:ascii="仿宋_GB2312" w:hAnsi="Times New Roman" w:eastAsia="仿宋_GB2312" w:cs="Times New Roman"/>
          <w:kern w:val="2"/>
          <w:sz w:val="32"/>
        </w:rPr>
        <w:t>指事业单位按照财政部门和主管部门的规定上缴上级单位的支出。</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十五、经营支出：</w:t>
      </w:r>
      <w:r>
        <w:rPr>
          <w:rFonts w:hint="eastAsia" w:ascii="仿宋_GB2312" w:hAnsi="Times New Roman" w:eastAsia="仿宋_GB2312" w:cs="Times New Roman"/>
          <w:kern w:val="2"/>
          <w:sz w:val="32"/>
        </w:rPr>
        <w:t>指事业单位在专业业务活动及其辅助活动之外开展非独立核算经营活动发生的支出。</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十六、对附属单位补助支出：</w:t>
      </w:r>
      <w:r>
        <w:rPr>
          <w:rFonts w:hint="eastAsia" w:ascii="仿宋_GB2312" w:hAnsi="Times New Roman" w:eastAsia="仿宋_GB2312" w:cs="Times New Roman"/>
          <w:kern w:val="2"/>
          <w:sz w:val="32"/>
        </w:rPr>
        <w:t>指事业单位用财政拨款收入之外的收入对附属单位补助发生的支出。</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十七、“三公”经费：</w:t>
      </w:r>
      <w:r>
        <w:rPr>
          <w:rFonts w:hint="eastAsia" w:ascii="仿宋_GB2312" w:hAnsi="Times New Roman" w:eastAsia="仿宋_GB2312" w:cs="Times New Roman"/>
          <w:kern w:val="2"/>
          <w:sz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autoSpaceDE w:val="0"/>
        <w:autoSpaceDN w:val="0"/>
        <w:adjustRightInd w:val="0"/>
        <w:spacing w:line="560" w:lineRule="exact"/>
        <w:ind w:firstLine="643"/>
        <w:jc w:val="both"/>
        <w:rPr>
          <w:rFonts w:hint="eastAsia" w:ascii="仿宋_GB2312" w:hAnsi="Times New Roman" w:eastAsia="仿宋_GB2312" w:cs="Times New Roman"/>
          <w:kern w:val="2"/>
          <w:sz w:val="32"/>
        </w:rPr>
      </w:pPr>
      <w:r>
        <w:rPr>
          <w:rFonts w:hint="eastAsia" w:ascii="仿宋_GB2312" w:hAnsi="Times New Roman" w:eastAsia="仿宋_GB2312" w:cs="Times New Roman"/>
          <w:b/>
          <w:kern w:val="2"/>
          <w:sz w:val="32"/>
        </w:rPr>
        <w:t>十八、机构运行经费：</w:t>
      </w:r>
      <w:r>
        <w:rPr>
          <w:rFonts w:hint="eastAsia" w:ascii="仿宋_GB2312" w:hAnsi="Times New Roman" w:eastAsia="仿宋_GB2312" w:cs="Times New Roman"/>
          <w:kern w:val="2"/>
          <w:sz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3"/>
        <w:keepNext/>
        <w:keepLines/>
        <w:numPr>
          <w:ilvl w:val="0"/>
          <w:numId w:val="0"/>
        </w:numPr>
        <w:tabs>
          <w:tab w:val="left" w:pos="4392"/>
        </w:tabs>
        <w:autoSpaceDE w:val="0"/>
        <w:autoSpaceDN w:val="0"/>
        <w:adjustRightInd w:val="0"/>
        <w:spacing w:before="0" w:beforeLines="0" w:after="0" w:afterLines="0" w:line="360" w:lineRule="auto"/>
        <w:jc w:val="center"/>
        <w:rPr>
          <w:rFonts w:hint="eastAsia" w:ascii="方正小标宋简体" w:hAnsi="Times New Roman" w:eastAsia="方正小标宋简体" w:cs="Times New Roman"/>
          <w:b w:val="0"/>
          <w:bCs w:val="0"/>
          <w:kern w:val="2"/>
          <w:sz w:val="36"/>
          <w:szCs w:val="24"/>
        </w:rPr>
      </w:pPr>
      <w:bookmarkStart w:id="1" w:name="_GoBack"/>
      <w:bookmarkEnd w:id="1"/>
    </w:p>
    <w:p>
      <w:pPr>
        <w:pStyle w:val="3"/>
        <w:keepNext/>
        <w:keepLines/>
        <w:numPr>
          <w:ilvl w:val="0"/>
          <w:numId w:val="0"/>
        </w:numPr>
        <w:tabs>
          <w:tab w:val="left" w:pos="4392"/>
        </w:tabs>
        <w:autoSpaceDE w:val="0"/>
        <w:autoSpaceDN w:val="0"/>
        <w:adjustRightInd w:val="0"/>
        <w:spacing w:before="0" w:beforeLines="0" w:after="0" w:afterLines="0" w:line="360" w:lineRule="auto"/>
        <w:jc w:val="center"/>
        <w:rPr>
          <w:rFonts w:hint="eastAsia" w:ascii="方正小标宋简体" w:hAnsi="Times New Roman" w:eastAsia="方正小标宋简体" w:cs="Times New Roman"/>
          <w:b w:val="0"/>
          <w:bCs w:val="0"/>
          <w:kern w:val="2"/>
          <w:sz w:val="36"/>
          <w:szCs w:val="24"/>
        </w:rPr>
      </w:pPr>
    </w:p>
    <w:p>
      <w:pPr>
        <w:pStyle w:val="3"/>
        <w:keepNext/>
        <w:keepLines/>
        <w:numPr>
          <w:ilvl w:val="0"/>
          <w:numId w:val="0"/>
        </w:numPr>
        <w:tabs>
          <w:tab w:val="left" w:pos="4392"/>
        </w:tabs>
        <w:autoSpaceDE w:val="0"/>
        <w:autoSpaceDN w:val="0"/>
        <w:adjustRightInd w:val="0"/>
        <w:spacing w:before="0" w:beforeLines="0" w:after="0" w:afterLines="0" w:line="360" w:lineRule="auto"/>
        <w:jc w:val="center"/>
        <w:rPr>
          <w:rFonts w:hint="eastAsia" w:ascii="方正小标宋简体" w:hAnsi="Times New Roman" w:eastAsia="方正小标宋简体" w:cs="Times New Roman"/>
          <w:b w:val="0"/>
          <w:bCs w:val="0"/>
          <w:kern w:val="2"/>
          <w:sz w:val="36"/>
          <w:szCs w:val="24"/>
        </w:rPr>
      </w:pPr>
    </w:p>
    <w:p>
      <w:pPr>
        <w:pStyle w:val="3"/>
        <w:keepNext/>
        <w:keepLines/>
        <w:numPr>
          <w:ilvl w:val="0"/>
          <w:numId w:val="0"/>
        </w:numPr>
        <w:tabs>
          <w:tab w:val="left" w:pos="4392"/>
        </w:tabs>
        <w:autoSpaceDE w:val="0"/>
        <w:autoSpaceDN w:val="0"/>
        <w:adjustRightInd w:val="0"/>
        <w:spacing w:before="0" w:beforeLines="0" w:after="0" w:afterLines="0" w:line="360" w:lineRule="auto"/>
        <w:jc w:val="center"/>
        <w:rPr>
          <w:rFonts w:hint="eastAsia" w:ascii="方正小标宋简体" w:hAnsi="Times New Roman" w:eastAsia="方正小标宋简体" w:cs="Times New Roman"/>
          <w:b w:val="0"/>
          <w:bCs w:val="0"/>
          <w:kern w:val="2"/>
          <w:sz w:val="36"/>
          <w:szCs w:val="24"/>
        </w:rPr>
      </w:pPr>
    </w:p>
    <w:p>
      <w:pPr>
        <w:pStyle w:val="3"/>
        <w:keepNext/>
        <w:keepLines/>
        <w:numPr>
          <w:ilvl w:val="0"/>
          <w:numId w:val="0"/>
        </w:numPr>
        <w:tabs>
          <w:tab w:val="left" w:pos="4392"/>
        </w:tabs>
        <w:autoSpaceDE w:val="0"/>
        <w:autoSpaceDN w:val="0"/>
        <w:adjustRightInd w:val="0"/>
        <w:spacing w:before="0" w:beforeLines="0" w:after="0" w:afterLines="0" w:line="360" w:lineRule="auto"/>
        <w:jc w:val="both"/>
        <w:rPr>
          <w:rFonts w:hint="eastAsia" w:ascii="方正小标宋简体" w:hAnsi="Times New Roman" w:eastAsia="方正小标宋简体" w:cs="Times New Roman"/>
          <w:b w:val="0"/>
          <w:bCs w:val="0"/>
          <w:kern w:val="2"/>
          <w:sz w:val="36"/>
          <w:szCs w:val="24"/>
        </w:rPr>
      </w:pPr>
    </w:p>
    <w:p>
      <w:pPr>
        <w:rPr>
          <w:rFonts w:hint="eastAsia" w:ascii="方正小标宋简体" w:hAnsi="Times New Roman" w:eastAsia="方正小标宋简体" w:cs="Times New Roman"/>
          <w:b w:val="0"/>
          <w:bCs w:val="0"/>
          <w:kern w:val="2"/>
          <w:sz w:val="36"/>
          <w:szCs w:val="24"/>
        </w:rPr>
      </w:pPr>
    </w:p>
    <w:p>
      <w:pPr>
        <w:pStyle w:val="3"/>
        <w:keepNext/>
        <w:keepLines/>
        <w:numPr>
          <w:ilvl w:val="0"/>
          <w:numId w:val="0"/>
        </w:numPr>
        <w:tabs>
          <w:tab w:val="left" w:pos="4392"/>
        </w:tabs>
        <w:autoSpaceDE w:val="0"/>
        <w:autoSpaceDN w:val="0"/>
        <w:adjustRightInd w:val="0"/>
        <w:spacing w:before="0" w:beforeLines="0" w:after="0" w:afterLines="0" w:line="360" w:lineRule="auto"/>
        <w:jc w:val="both"/>
        <w:rPr>
          <w:rFonts w:hint="eastAsia" w:ascii="方正小标宋简体" w:hAnsi="Times New Roman" w:eastAsia="方正小标宋简体" w:cs="Times New Roman"/>
          <w:b w:val="0"/>
          <w:bCs w:val="0"/>
          <w:kern w:val="2"/>
          <w:sz w:val="36"/>
          <w:szCs w:val="24"/>
        </w:rPr>
      </w:pPr>
    </w:p>
    <w:p>
      <w:pPr>
        <w:pStyle w:val="3"/>
        <w:keepNext/>
        <w:keepLines/>
        <w:numPr>
          <w:ilvl w:val="0"/>
          <w:numId w:val="0"/>
        </w:numPr>
        <w:tabs>
          <w:tab w:val="left" w:pos="4392"/>
        </w:tabs>
        <w:autoSpaceDE w:val="0"/>
        <w:autoSpaceDN w:val="0"/>
        <w:adjustRightInd w:val="0"/>
        <w:spacing w:before="0" w:beforeLines="0" w:after="0" w:afterLines="0" w:line="360" w:lineRule="auto"/>
        <w:jc w:val="both"/>
        <w:rPr>
          <w:rFonts w:hint="eastAsia" w:ascii="方正小标宋简体" w:hAnsi="Times New Roman" w:eastAsia="方正小标宋简体" w:cs="Times New Roman"/>
          <w:b w:val="0"/>
          <w:bCs w:val="0"/>
          <w:kern w:val="2"/>
          <w:sz w:val="36"/>
          <w:szCs w:val="24"/>
        </w:rPr>
      </w:pPr>
    </w:p>
    <w:p>
      <w:pPr>
        <w:rPr>
          <w:rFonts w:hint="eastAsia" w:ascii="方正小标宋简体" w:hAnsi="Times New Roman" w:eastAsia="方正小标宋简体" w:cs="Times New Roman"/>
          <w:b w:val="0"/>
          <w:bCs w:val="0"/>
          <w:kern w:val="2"/>
          <w:sz w:val="36"/>
          <w:szCs w:val="24"/>
        </w:rPr>
      </w:pPr>
    </w:p>
    <w:p>
      <w:pPr>
        <w:rPr>
          <w:rFonts w:hint="eastAsia" w:ascii="方正小标宋简体" w:hAnsi="Times New Roman" w:eastAsia="方正小标宋简体" w:cs="Times New Roman"/>
          <w:b w:val="0"/>
          <w:bCs w:val="0"/>
          <w:kern w:val="2"/>
          <w:sz w:val="36"/>
          <w:szCs w:val="24"/>
        </w:rPr>
      </w:pPr>
    </w:p>
    <w:p>
      <w:pPr>
        <w:pStyle w:val="3"/>
        <w:keepNext/>
        <w:keepLines/>
        <w:numPr>
          <w:ilvl w:val="0"/>
          <w:numId w:val="0"/>
        </w:numPr>
        <w:tabs>
          <w:tab w:val="left" w:pos="4392"/>
        </w:tabs>
        <w:autoSpaceDE w:val="0"/>
        <w:autoSpaceDN w:val="0"/>
        <w:adjustRightInd w:val="0"/>
        <w:spacing w:before="0" w:beforeLines="0" w:after="0" w:afterLines="0" w:line="360" w:lineRule="auto"/>
        <w:jc w:val="center"/>
        <w:rPr>
          <w:rFonts w:hint="eastAsia" w:ascii="方正小标宋简体" w:hAnsi="Times New Roman" w:eastAsia="方正小标宋简体" w:cs="Times New Roman"/>
          <w:b w:val="0"/>
          <w:bCs w:val="0"/>
          <w:kern w:val="2"/>
          <w:sz w:val="36"/>
          <w:szCs w:val="24"/>
        </w:rPr>
      </w:pPr>
      <w:r>
        <w:rPr>
          <w:rFonts w:hint="eastAsia" w:ascii="方正小标宋简体" w:hAnsi="Times New Roman" w:eastAsia="方正小标宋简体" w:cs="Times New Roman"/>
          <w:b w:val="0"/>
          <w:bCs w:val="0"/>
          <w:kern w:val="2"/>
          <w:sz w:val="36"/>
          <w:szCs w:val="24"/>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autoSpaceDE w:val="0"/>
        <w:autoSpaceDN w:val="0"/>
        <w:adjustRightInd w:val="0"/>
        <w:spacing w:line="600" w:lineRule="exact"/>
        <w:ind w:firstLine="640"/>
        <w:jc w:val="both"/>
        <w:rPr>
          <w:rFonts w:hint="eastAsia" w:ascii="仿宋_GB2312" w:hAnsi="Times New Roman" w:eastAsia="仿宋_GB2312" w:cs="Times New Roman"/>
          <w:kern w:val="2"/>
          <w:sz w:val="32"/>
        </w:rPr>
      </w:pPr>
      <w:r>
        <w:rPr>
          <w:rFonts w:ascii="fang_song_gb2312" w:hAnsi="fang_song_gb2312" w:eastAsia="fang_song_gb2312" w:cs="fang_song_gb2312"/>
          <w:kern w:val="0"/>
          <w:sz w:val="27"/>
          <w:szCs w:val="27"/>
        </w:rPr>
        <w:t xml:space="preserve">  </w:t>
      </w:r>
      <w:r>
        <w:rPr>
          <w:rFonts w:hint="eastAsia" w:ascii="仿宋_GB2312" w:hAnsi="仿宋_GB2312" w:eastAsia="仿宋_GB2312" w:cs="仿宋_GB2312"/>
          <w:kern w:val="0"/>
          <w:sz w:val="32"/>
          <w:szCs w:val="32"/>
        </w:rPr>
        <w:t xml:space="preserve">  </w:t>
      </w:r>
      <w:r>
        <w:rPr>
          <w:rFonts w:hint="eastAsia" w:ascii="仿宋_GB2312" w:hAnsi="Times New Roman" w:eastAsia="仿宋_GB2312" w:cs="Times New Roman"/>
          <w:kern w:val="2"/>
          <w:sz w:val="32"/>
        </w:rPr>
        <w:t>本单位决算公开信息反馈和联系方式：</w:t>
      </w:r>
    </w:p>
    <w:p>
      <w:pPr>
        <w:autoSpaceDE w:val="0"/>
        <w:autoSpaceDN w:val="0"/>
        <w:adjustRightInd w:val="0"/>
        <w:spacing w:line="600" w:lineRule="exact"/>
        <w:ind w:firstLine="640"/>
        <w:jc w:val="both"/>
        <w:rPr>
          <w:rFonts w:hint="eastAsia" w:ascii="仿宋_GB2312" w:hAnsi="Times New Roman" w:eastAsia="仿宋_GB2312" w:cs="Times New Roman"/>
          <w:kern w:val="2"/>
          <w:sz w:val="32"/>
        </w:rPr>
      </w:pPr>
      <w:r>
        <w:rPr>
          <w:rFonts w:hint="eastAsia" w:ascii="仿宋_GB2312" w:hAnsi="Times New Roman" w:eastAsia="仿宋_GB2312" w:cs="Times New Roman"/>
          <w:kern w:val="2"/>
          <w:sz w:val="32"/>
        </w:rPr>
        <w:t>    联系人：安智军           联系电话：0472-</w:t>
      </w:r>
      <w:r>
        <w:rPr>
          <w:rFonts w:hint="eastAsia" w:ascii="仿宋_GB2312" w:hAnsi="Times New Roman" w:eastAsia="仿宋_GB2312" w:cs="Times New Roman"/>
          <w:kern w:val="2"/>
          <w:sz w:val="32"/>
          <w:lang w:val="en-US" w:eastAsia="zh-CN"/>
        </w:rPr>
        <w:t>5618645</w:t>
      </w:r>
      <w:r>
        <w:rPr>
          <w:rFonts w:hint="eastAsia" w:ascii="仿宋_GB2312" w:hAnsi="Times New Roman" w:eastAsia="仿宋_GB2312" w:cs="Times New Roman"/>
          <w:kern w:val="2"/>
          <w:sz w:val="32"/>
        </w:rPr>
        <w:t> </w:t>
      </w:r>
    </w:p>
    <w:p>
      <w:pPr>
        <w:widowControl/>
        <w:spacing w:before="240" w:after="240"/>
        <w:jc w:val="left"/>
        <w:rPr>
          <w:rFonts w:ascii="Times New Roman" w:hAnsi="Times New Roman" w:eastAsia="Times New Roman" w:cs="Times New Roman"/>
          <w:kern w:val="0"/>
          <w:sz w:val="24"/>
        </w:rPr>
      </w:pPr>
    </w:p>
    <w:p>
      <w:pPr>
        <w:autoSpaceDE w:val="0"/>
        <w:autoSpaceDN w:val="0"/>
        <w:adjustRightInd w:val="0"/>
        <w:jc w:val="center"/>
        <w:rPr>
          <w:rFonts w:hint="eastAsia" w:ascii="方正小标宋简体" w:hAnsi="Times New Roman" w:eastAsia="方正小标宋简体" w:cs="Times New Roman"/>
          <w:kern w:val="2"/>
          <w:sz w:val="36"/>
        </w:rPr>
      </w:pPr>
      <w:r>
        <w:rPr>
          <w:rFonts w:hint="eastAsia" w:ascii="方正小标宋简体" w:hAnsi="Times New Roman" w:eastAsia="方正小标宋简体" w:cs="Times New Roman"/>
          <w:kern w:val="2"/>
          <w:sz w:val="36"/>
        </w:rPr>
        <w:t>第五部分 单位决算表</w:t>
      </w:r>
    </w:p>
    <w:p>
      <w:pPr>
        <w:widowControl/>
        <w:spacing w:before="240" w:after="240"/>
        <w:jc w:val="left"/>
        <w:rPr>
          <w:rFonts w:hint="eastAsia" w:ascii="仿宋_GB2312" w:hAnsi="Times New Roman" w:eastAsia="仿宋_GB2312" w:cs="Times New Roman"/>
          <w:kern w:val="2"/>
          <w:sz w:val="32"/>
        </w:rPr>
      </w:pPr>
      <w:r>
        <w:rPr>
          <w:rFonts w:ascii="fang_song_gb2312" w:hAnsi="fang_song_gb2312" w:eastAsia="fang_song_gb2312" w:cs="fang_song_gb2312"/>
          <w:kern w:val="0"/>
          <w:sz w:val="27"/>
          <w:szCs w:val="27"/>
        </w:rPr>
        <w:t xml:space="preserve">  </w:t>
      </w:r>
      <w:r>
        <w:rPr>
          <w:rFonts w:hint="eastAsia" w:ascii="仿宋_GB2312" w:hAnsi="Times New Roman" w:eastAsia="仿宋_GB2312" w:cs="Times New Roman"/>
          <w:kern w:val="2"/>
          <w:sz w:val="32"/>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adjustRightInd w:val="0"/>
        <w:snapToGrid w:val="0"/>
        <w:rPr>
          <w:rFonts w:ascii="宋体" w:hAnsi="宋体"/>
          <w:b/>
          <w:sz w:val="32"/>
          <w:szCs w:val="32"/>
        </w:rPr>
      </w:pPr>
    </w:p>
    <w:p>
      <w:pPr>
        <w:tabs>
          <w:tab w:val="left" w:pos="8415"/>
        </w:tabs>
      </w:pPr>
    </w:p>
    <w:sectPr>
      <w:footerReference r:id="rId3"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fang_song_gb2312">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kai_ti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23</w:t>
    </w:r>
    <w:r>
      <w:rPr>
        <w:lang w:val="zh-CN"/>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wNTMzMWFhMWI1Yzg0MzA5N2RkMzc1MjY4NzFkZTQ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2F3D27F6"/>
    <w:rsid w:val="376B702A"/>
    <w:rsid w:val="3DC50703"/>
    <w:rsid w:val="3E2907B2"/>
    <w:rsid w:val="4DD14002"/>
    <w:rsid w:val="4FA95FAF"/>
    <w:rsid w:val="5906675A"/>
    <w:rsid w:val="59DB0108"/>
    <w:rsid w:val="5E3873B6"/>
    <w:rsid w:val="619A2136"/>
    <w:rsid w:val="71AA0596"/>
    <w:rsid w:val="71E8615D"/>
    <w:rsid w:val="72145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iPriority w:val="0"/>
    <w:pPr>
      <w:ind w:left="1260"/>
      <w:jc w:val="left"/>
    </w:pPr>
    <w:rPr>
      <w:sz w:val="20"/>
      <w:szCs w:val="20"/>
    </w:rPr>
  </w:style>
  <w:style w:type="paragraph" w:styleId="7">
    <w:name w:val="Document Map"/>
    <w:basedOn w:val="1"/>
    <w:uiPriority w:val="0"/>
    <w:pPr>
      <w:shd w:val="clear" w:color="auto" w:fill="000080"/>
    </w:pPr>
  </w:style>
  <w:style w:type="paragraph" w:styleId="8">
    <w:name w:val="Body Text"/>
    <w:basedOn w:val="1"/>
    <w:unhideWhenUsed/>
    <w:qFormat/>
    <w:uiPriority w:val="1"/>
    <w:pPr>
      <w:spacing w:after="120"/>
    </w:pPr>
  </w:style>
  <w:style w:type="paragraph" w:styleId="9">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0">
    <w:name w:val="toc 5"/>
    <w:basedOn w:val="1"/>
    <w:next w:val="1"/>
    <w:autoRedefine/>
    <w:uiPriority w:val="0"/>
    <w:pPr>
      <w:ind w:left="840"/>
      <w:jc w:val="left"/>
    </w:pPr>
    <w:rPr>
      <w:sz w:val="20"/>
      <w:szCs w:val="20"/>
    </w:rPr>
  </w:style>
  <w:style w:type="paragraph" w:styleId="11">
    <w:name w:val="toc 3"/>
    <w:basedOn w:val="1"/>
    <w:next w:val="1"/>
    <w:uiPriority w:val="0"/>
    <w:pPr>
      <w:adjustRightInd w:val="0"/>
      <w:snapToGrid w:val="0"/>
      <w:spacing w:line="360" w:lineRule="auto"/>
      <w:ind w:firstLine="400" w:firstLineChars="400"/>
      <w:jc w:val="left"/>
    </w:pPr>
    <w:rPr>
      <w:sz w:val="24"/>
      <w:szCs w:val="20"/>
    </w:rPr>
  </w:style>
  <w:style w:type="paragraph" w:styleId="12">
    <w:name w:val="toc 8"/>
    <w:basedOn w:val="1"/>
    <w:next w:val="1"/>
    <w:autoRedefine/>
    <w:uiPriority w:val="0"/>
    <w:pPr>
      <w:ind w:left="1470"/>
      <w:jc w:val="left"/>
    </w:pPr>
    <w:rPr>
      <w:sz w:val="20"/>
      <w:szCs w:val="20"/>
    </w:rPr>
  </w:style>
  <w:style w:type="paragraph" w:styleId="13">
    <w:name w:val="footer"/>
    <w:basedOn w:val="1"/>
    <w:link w:val="29"/>
    <w:uiPriority w:val="0"/>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0"/>
    <w:pPr>
      <w:adjustRightInd w:val="0"/>
      <w:snapToGrid w:val="0"/>
      <w:spacing w:line="360" w:lineRule="auto"/>
      <w:jc w:val="left"/>
    </w:pPr>
    <w:rPr>
      <w:b/>
      <w:bCs/>
      <w:sz w:val="24"/>
      <w:szCs w:val="20"/>
    </w:rPr>
  </w:style>
  <w:style w:type="paragraph" w:styleId="16">
    <w:name w:val="toc 4"/>
    <w:basedOn w:val="1"/>
    <w:next w:val="1"/>
    <w:autoRedefine/>
    <w:uiPriority w:val="0"/>
    <w:pPr>
      <w:ind w:left="630"/>
      <w:jc w:val="left"/>
    </w:pPr>
    <w:rPr>
      <w:sz w:val="20"/>
      <w:szCs w:val="20"/>
    </w:rPr>
  </w:style>
  <w:style w:type="paragraph" w:styleId="17">
    <w:name w:val="toc 6"/>
    <w:basedOn w:val="1"/>
    <w:next w:val="1"/>
    <w:autoRedefine/>
    <w:uiPriority w:val="0"/>
    <w:pPr>
      <w:ind w:left="1050"/>
      <w:jc w:val="left"/>
    </w:pPr>
    <w:rPr>
      <w:sz w:val="20"/>
      <w:szCs w:val="20"/>
    </w:rPr>
  </w:style>
  <w:style w:type="paragraph" w:styleId="18">
    <w:name w:val="toc 2"/>
    <w:basedOn w:val="1"/>
    <w:next w:val="1"/>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uiPriority w:val="0"/>
    <w:pPr>
      <w:ind w:left="1680"/>
      <w:jc w:val="left"/>
    </w:pPr>
    <w:rPr>
      <w:sz w:val="20"/>
      <w:szCs w:val="20"/>
    </w:rPr>
  </w:style>
  <w:style w:type="paragraph" w:styleId="20">
    <w:name w:val="Normal (Web)"/>
    <w:basedOn w:val="1"/>
    <w:qFormat/>
    <w:uiPriority w:val="0"/>
    <w:pPr>
      <w:widowControl/>
      <w:spacing w:before="45" w:after="45" w:line="432" w:lineRule="auto"/>
      <w:ind w:right="150" w:firstLine="480"/>
      <w:jc w:val="left"/>
    </w:pPr>
    <w:rPr>
      <w:rFonts w:ascii="宋体" w:hAnsi="宋体" w:cs="宋体"/>
      <w:kern w:val="0"/>
      <w:sz w:val="24"/>
    </w:rPr>
  </w:style>
  <w:style w:type="paragraph" w:styleId="21">
    <w:name w:val="Body Text First Indent 2"/>
    <w:basedOn w:val="9"/>
    <w:qFormat/>
    <w:uiPriority w:val="0"/>
    <w:pPr>
      <w:ind w:firstLine="420"/>
    </w:pPr>
  </w:style>
  <w:style w:type="character" w:styleId="24">
    <w:name w:val="page number"/>
    <w:basedOn w:val="23"/>
    <w:uiPriority w:val="0"/>
  </w:style>
  <w:style w:type="character" w:styleId="25">
    <w:name w:val="Hyperlink"/>
    <w:basedOn w:val="23"/>
    <w:uiPriority w:val="0"/>
    <w:rPr>
      <w:color w:val="0000FF"/>
      <w:u w:val="single"/>
    </w:rPr>
  </w:style>
  <w:style w:type="character" w:customStyle="1" w:styleId="26">
    <w:name w:val="标题 4 字符"/>
    <w:basedOn w:val="23"/>
    <w:link w:val="5"/>
    <w:uiPriority w:val="0"/>
    <w:rPr>
      <w:rFonts w:ascii="Cambria" w:hAnsi="Cambria"/>
      <w:b/>
      <w:bCs/>
      <w:kern w:val="2"/>
      <w:sz w:val="28"/>
      <w:szCs w:val="28"/>
    </w:rPr>
  </w:style>
  <w:style w:type="paragraph" w:styleId="27">
    <w:name w:val="No Spacing"/>
    <w:link w:val="28"/>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8">
    <w:name w:val="无间隔 字符"/>
    <w:link w:val="27"/>
    <w:locked/>
    <w:uiPriority w:val="0"/>
    <w:rPr>
      <w:rFonts w:eastAsia="仿宋_GB2312"/>
      <w:sz w:val="30"/>
      <w:szCs w:val="22"/>
      <w:lang w:bidi="ar-SA"/>
    </w:rPr>
  </w:style>
  <w:style w:type="character" w:customStyle="1" w:styleId="29">
    <w:name w:val="页脚 字符"/>
    <w:basedOn w:val="23"/>
    <w:link w:val="13"/>
    <w:uiPriority w:val="0"/>
    <w:rPr>
      <w:kern w:val="2"/>
      <w:sz w:val="18"/>
      <w:szCs w:val="18"/>
    </w:rPr>
  </w:style>
  <w:style w:type="paragraph" w:styleId="30">
    <w:name w:val="List Paragraph"/>
    <w:basedOn w:val="1"/>
    <w:qFormat/>
    <w:uiPriority w:val="0"/>
    <w:pPr>
      <w:ind w:firstLine="420" w:firstLineChars="200"/>
    </w:pPr>
  </w:style>
  <w:style w:type="character" w:customStyle="1" w:styleId="31">
    <w:name w:val="标题 3 字符"/>
    <w:basedOn w:val="23"/>
    <w:link w:val="4"/>
    <w:uiPriority w:val="0"/>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299649673834259"/>
          <c:y val="0.258181045473863"/>
          <c:w val="0.39514375453008"/>
          <c:h val="0.695070123246919"/>
        </c:manualLayout>
      </c:layout>
      <c:pieChart>
        <c:varyColors val="1"/>
        <c:ser>
          <c:idx val="0"/>
          <c:order val="0"/>
          <c:tx>
            <c:strRef>
              <c:f>Sheet1!$B$1</c:f>
              <c:strCache>
                <c:ptCount val="1"/>
                <c:pt idx="0">
                  <c:v>2023年度本年收入决算合计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410.29</c:v>
                </c:pt>
                <c:pt idx="1">
                  <c:v>99.05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128150297846342"/>
          <c:y val="0.1364234056541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2023年度本年支出决算合计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8.2</c:v>
                </c:pt>
                <c:pt idx="1">
                  <c:v>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7369</Words>
  <Characters>8180</Characters>
  <Lines>1</Lines>
  <Paragraphs>1</Paragraphs>
  <TotalTime>0</TotalTime>
  <ScaleCrop>false</ScaleCrop>
  <LinksUpToDate>false</LinksUpToDate>
  <CharactersWithSpaces>8730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全都是泡沫</cp:lastModifiedBy>
  <cp:lastPrinted>2021-04-16T00:45:00Z</cp:lastPrinted>
  <dcterms:modified xsi:type="dcterms:W3CDTF">2024-09-26T01:55:28Z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CDA8B7E32348449AB1F26CB31ECCFE00_12</vt:lpwstr>
  </property>
</Properties>
</file>