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u w:val="none" w:color="auto"/>
        </w:rPr>
      </w:pPr>
    </w:p>
    <w:p>
      <w:pPr>
        <w:pageBreakBefore w:val="0"/>
        <w:kinsoku/>
        <w:wordWrap/>
        <w:overflowPunct/>
        <w:topLinePunct w:val="0"/>
        <w:bidi w:val="0"/>
        <w:spacing w:line="600" w:lineRule="exact"/>
        <w:jc w:val="center"/>
        <w:rPr>
          <w:rFonts w:eastAsia="黑体" w:cs="宋体"/>
          <w:b/>
          <w:sz w:val="52"/>
          <w:szCs w:val="52"/>
          <w:u w:val="none" w:color="auto"/>
        </w:rPr>
      </w:pPr>
    </w:p>
    <w:p>
      <w:pPr>
        <w:pageBreakBefore w:val="0"/>
        <w:kinsoku/>
        <w:wordWrap/>
        <w:overflowPunct/>
        <w:topLinePunct w:val="0"/>
        <w:bidi w:val="0"/>
        <w:spacing w:line="600" w:lineRule="exact"/>
        <w:jc w:val="left"/>
        <w:rPr>
          <w:rFonts w:ascii="黑体" w:hAnsi="黑体" w:eastAsia="黑体" w:cs="黑体"/>
          <w:b/>
          <w:bCs/>
          <w:sz w:val="32"/>
          <w:szCs w:val="32"/>
          <w:u w:val="none" w:color="auto"/>
        </w:rPr>
      </w:pPr>
    </w:p>
    <w:p>
      <w:pPr>
        <w:pageBreakBefore w:val="0"/>
        <w:kinsoku/>
        <w:wordWrap/>
        <w:overflowPunct/>
        <w:topLinePunct w:val="0"/>
        <w:bidi w:val="0"/>
        <w:spacing w:line="600" w:lineRule="exact"/>
        <w:jc w:val="left"/>
        <w:rPr>
          <w:rFonts w:ascii="Arial" w:hAnsi="Arial" w:eastAsia="Symbol"/>
          <w:b/>
          <w:bCs/>
          <w:sz w:val="32"/>
          <w:szCs w:val="32"/>
          <w:u w:val="none" w:color="auto"/>
        </w:rPr>
      </w:pPr>
    </w:p>
    <w:p>
      <w:pPr>
        <w:pageBreakBefore w:val="0"/>
        <w:kinsoku/>
        <w:wordWrap/>
        <w:overflowPunct/>
        <w:topLinePunct w:val="0"/>
        <w:bidi w:val="0"/>
        <w:spacing w:line="600" w:lineRule="exact"/>
        <w:jc w:val="center"/>
        <w:rPr>
          <w:rFonts w:ascii="Arial" w:hAnsi="Arial" w:eastAsia="宋体"/>
          <w:b/>
          <w:bCs/>
          <w:sz w:val="32"/>
          <w:szCs w:val="32"/>
          <w:u w:val="none" w:color="auto"/>
        </w:rPr>
      </w:pPr>
    </w:p>
    <w:p>
      <w:pPr>
        <w:pageBreakBefore w:val="0"/>
        <w:kinsoku/>
        <w:wordWrap/>
        <w:overflowPunct/>
        <w:topLinePunct w:val="0"/>
        <w:bidi w:val="0"/>
        <w:spacing w:line="600" w:lineRule="exact"/>
        <w:jc w:val="center"/>
        <w:rPr>
          <w:rFonts w:ascii="Arial" w:hAnsi="Arial" w:eastAsia="宋体"/>
          <w:b/>
          <w:bCs/>
          <w:sz w:val="32"/>
          <w:szCs w:val="32"/>
          <w:u w:val="none" w:color="auto"/>
        </w:rPr>
      </w:pPr>
    </w:p>
    <w:p>
      <w:pPr>
        <w:pageBreakBefore w:val="0"/>
        <w:kinsoku/>
        <w:wordWrap/>
        <w:overflowPunct/>
        <w:topLinePunct w:val="0"/>
        <w:bidi w:val="0"/>
        <w:spacing w:line="600" w:lineRule="exact"/>
        <w:jc w:val="center"/>
        <w:rPr>
          <w:rFonts w:ascii="Arial" w:hAnsi="Arial" w:eastAsia="宋体"/>
          <w:b/>
          <w:bCs/>
          <w:sz w:val="32"/>
          <w:szCs w:val="32"/>
          <w:u w:val="none" w:color="auto"/>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lang w:val="en-US" w:eastAsia="zh-CN"/>
        </w:rPr>
        <w:t>2024</w:t>
      </w:r>
      <w:r>
        <w:rPr>
          <w:rFonts w:hint="eastAsia" w:ascii="方正小标宋简体" w:hAnsi="方正小标宋简体" w:eastAsia="方正小标宋简体" w:cs="方正小标宋简体"/>
          <w:b w:val="0"/>
          <w:bCs w:val="0"/>
          <w:sz w:val="44"/>
          <w:szCs w:val="44"/>
          <w:u w:val="none" w:color="auto"/>
        </w:rPr>
        <w:t>年度</w:t>
      </w:r>
      <w:r>
        <w:rPr>
          <w:rFonts w:hint="eastAsia" w:ascii="方正小标宋简体" w:hAnsi="方正小标宋简体" w:eastAsia="方正小标宋简体" w:cs="方正小标宋简体"/>
          <w:b w:val="0"/>
          <w:bCs w:val="0"/>
          <w:sz w:val="44"/>
          <w:szCs w:val="44"/>
          <w:u w:val="none" w:color="auto"/>
          <w:lang w:val="en-US" w:eastAsia="zh-CN"/>
        </w:rPr>
        <w:t>包头市民政局本级</w:t>
      </w:r>
      <w:r>
        <w:rPr>
          <w:rFonts w:hint="eastAsia" w:ascii="方正小标宋简体" w:hAnsi="方正小标宋简体" w:eastAsia="方正小标宋简体" w:cs="方正小标宋简体"/>
          <w:b w:val="0"/>
          <w:bCs w:val="0"/>
          <w:sz w:val="44"/>
          <w:szCs w:val="44"/>
          <w:u w:val="none" w:color="auto"/>
        </w:rPr>
        <w:t>预算公开</w:t>
      </w: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color="auto"/>
        </w:rPr>
      </w:pPr>
    </w:p>
    <w:p>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color="auto"/>
        </w:rPr>
      </w:pPr>
      <w:r>
        <w:rPr>
          <w:rFonts w:hint="eastAsia" w:ascii="黑体" w:hAnsi="黑体" w:eastAsia="黑体" w:cs="黑体"/>
          <w:sz w:val="32"/>
          <w:szCs w:val="32"/>
          <w:u w:val="none" w:color="auto"/>
        </w:rPr>
        <w:t xml:space="preserve">批复时间：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 xml:space="preserve"> 年</w:t>
      </w:r>
      <w:r>
        <w:rPr>
          <w:rFonts w:hint="eastAsia" w:ascii="黑体" w:hAnsi="黑体" w:eastAsia="黑体" w:cs="黑体"/>
          <w:sz w:val="32"/>
          <w:szCs w:val="32"/>
          <w:u w:val="none" w:color="auto"/>
          <w:lang w:val="en-US" w:eastAsia="zh-CN"/>
        </w:rPr>
        <w:t xml:space="preserve"> </w:t>
      </w:r>
      <w:r>
        <w:rPr>
          <w:rFonts w:hint="eastAsia" w:ascii="黑体" w:hAnsi="黑体" w:eastAsia="黑体" w:cs="黑体"/>
          <w:sz w:val="32"/>
          <w:szCs w:val="32"/>
          <w:u w:val="none" w:color="auto"/>
        </w:rPr>
        <w:t xml:space="preserve"> </w:t>
      </w:r>
      <w:r>
        <w:rPr>
          <w:rFonts w:hint="eastAsia" w:ascii="黑体" w:hAnsi="黑体" w:eastAsia="黑体" w:cs="黑体"/>
          <w:sz w:val="32"/>
          <w:szCs w:val="32"/>
          <w:u w:val="none" w:color="auto"/>
          <w:lang w:val="en-US" w:eastAsia="zh-CN"/>
        </w:rPr>
        <w:t xml:space="preserve">2 </w:t>
      </w:r>
      <w:r>
        <w:rPr>
          <w:rFonts w:hint="eastAsia" w:ascii="黑体" w:hAnsi="黑体" w:eastAsia="黑体" w:cs="黑体"/>
          <w:sz w:val="32"/>
          <w:szCs w:val="32"/>
          <w:u w:val="none" w:color="auto"/>
        </w:rPr>
        <w:t xml:space="preserve"> 月  </w:t>
      </w:r>
      <w:r>
        <w:rPr>
          <w:rFonts w:hint="eastAsia" w:ascii="黑体" w:hAnsi="黑体" w:eastAsia="黑体" w:cs="黑体"/>
          <w:sz w:val="32"/>
          <w:szCs w:val="32"/>
          <w:u w:val="none" w:color="auto"/>
          <w:lang w:val="en-US" w:eastAsia="zh-CN"/>
        </w:rPr>
        <w:t>9</w:t>
      </w:r>
      <w:r>
        <w:rPr>
          <w:rFonts w:hint="eastAsia" w:ascii="黑体" w:hAnsi="黑体" w:eastAsia="黑体" w:cs="黑体"/>
          <w:sz w:val="32"/>
          <w:szCs w:val="32"/>
          <w:u w:val="none" w:color="auto"/>
        </w:rPr>
        <w:t xml:space="preserve">   日</w:t>
      </w:r>
    </w:p>
    <w:p>
      <w:pPr>
        <w:pStyle w:val="2"/>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color="auto"/>
        </w:rPr>
      </w:pPr>
      <w:r>
        <w:rPr>
          <w:rFonts w:ascii="黑体" w:hAnsi="黑体" w:eastAsia="黑体" w:cs="黑体"/>
          <w:sz w:val="32"/>
          <w:szCs w:val="32"/>
          <w:u w:val="none" w:color="auto"/>
        </w:rPr>
        <w:t xml:space="preserve">公开时间：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 xml:space="preserve"> 年</w:t>
      </w:r>
      <w:r>
        <w:rPr>
          <w:rFonts w:hint="eastAsia" w:ascii="黑体" w:hAnsi="黑体" w:eastAsia="黑体" w:cs="黑体"/>
          <w:sz w:val="32"/>
          <w:szCs w:val="32"/>
          <w:u w:val="none" w:color="auto"/>
          <w:lang w:val="en-US" w:eastAsia="zh-CN"/>
        </w:rPr>
        <w:t xml:space="preserve"> </w:t>
      </w:r>
      <w:r>
        <w:rPr>
          <w:rFonts w:hint="eastAsia" w:ascii="黑体" w:hAnsi="黑体" w:eastAsia="黑体" w:cs="黑体"/>
          <w:sz w:val="32"/>
          <w:szCs w:val="32"/>
          <w:u w:val="none" w:color="auto"/>
        </w:rPr>
        <w:t xml:space="preserve"> </w:t>
      </w:r>
      <w:r>
        <w:rPr>
          <w:rFonts w:hint="eastAsia" w:ascii="黑体" w:hAnsi="黑体" w:eastAsia="黑体" w:cs="黑体"/>
          <w:sz w:val="32"/>
          <w:szCs w:val="32"/>
          <w:u w:val="none" w:color="auto"/>
          <w:lang w:val="en-US" w:eastAsia="zh-CN"/>
        </w:rPr>
        <w:t xml:space="preserve">2 </w:t>
      </w:r>
      <w:r>
        <w:rPr>
          <w:rFonts w:hint="eastAsia" w:ascii="黑体" w:hAnsi="黑体" w:eastAsia="黑体" w:cs="黑体"/>
          <w:sz w:val="32"/>
          <w:szCs w:val="32"/>
          <w:u w:val="none" w:color="auto"/>
        </w:rPr>
        <w:t xml:space="preserve"> 月  </w:t>
      </w:r>
      <w:r>
        <w:rPr>
          <w:rFonts w:hint="eastAsia" w:ascii="黑体" w:hAnsi="黑体" w:eastAsia="黑体" w:cs="黑体"/>
          <w:sz w:val="32"/>
          <w:szCs w:val="32"/>
          <w:u w:val="none" w:color="auto"/>
          <w:lang w:val="en-US" w:eastAsia="zh-CN"/>
        </w:rPr>
        <w:t>28</w:t>
      </w:r>
      <w:r>
        <w:rPr>
          <w:rFonts w:hint="eastAsia" w:ascii="黑体" w:hAnsi="黑体" w:eastAsia="黑体" w:cs="黑体"/>
          <w:sz w:val="32"/>
          <w:szCs w:val="32"/>
          <w:u w:val="none" w:color="auto"/>
        </w:rPr>
        <w:t xml:space="preserve">  日</w:t>
      </w: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u w:val="none" w:color="auto"/>
        </w:rPr>
      </w:pPr>
    </w:p>
    <w:p>
      <w:pPr>
        <w:pStyle w:val="5"/>
        <w:pageBreakBefore w:val="0"/>
        <w:tabs>
          <w:tab w:val="left" w:pos="4533"/>
        </w:tabs>
        <w:kinsoku/>
        <w:wordWrap/>
        <w:overflowPunct/>
        <w:topLinePunct w:val="0"/>
        <w:bidi w:val="0"/>
        <w:spacing w:before="0" w:after="0" w:line="600" w:lineRule="exact"/>
        <w:ind w:firstLine="0" w:firstLineChars="0"/>
        <w:jc w:val="center"/>
        <w:rPr>
          <w:sz w:val="44"/>
          <w:szCs w:val="44"/>
          <w:u w:val="none" w:color="auto"/>
        </w:rPr>
      </w:pPr>
      <w:r>
        <w:rPr>
          <w:sz w:val="44"/>
          <w:szCs w:val="44"/>
          <w:u w:val="none" w:color="auto"/>
        </w:rPr>
        <w:t>目</w:t>
      </w:r>
      <w:r>
        <w:rPr>
          <w:rFonts w:hint="eastAsia" w:eastAsia="宋体"/>
          <w:sz w:val="44"/>
          <w:szCs w:val="44"/>
          <w:u w:val="none" w:color="auto"/>
        </w:rPr>
        <w:t xml:space="preserve">  </w:t>
      </w:r>
      <w:r>
        <w:rPr>
          <w:rFonts w:hint="eastAsia"/>
          <w:sz w:val="44"/>
          <w:szCs w:val="44"/>
          <w:u w:val="none" w:color="auto"/>
        </w:rPr>
        <w:t xml:space="preserve">  </w:t>
      </w:r>
      <w:r>
        <w:rPr>
          <w:sz w:val="44"/>
          <w:szCs w:val="44"/>
          <w:u w:val="none" w:color="auto"/>
        </w:rPr>
        <w:t>录</w:t>
      </w:r>
    </w:p>
    <w:p>
      <w:pPr>
        <w:rPr>
          <w:u w:val="none" w:color="auto"/>
        </w:rPr>
      </w:pP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第一部分 单位概况</w:t>
      </w:r>
    </w:p>
    <w:p>
      <w:pPr>
        <w:pStyle w:val="10"/>
        <w:pageBreakBefore w:val="0"/>
        <w:kinsoku/>
        <w:wordWrap/>
        <w:overflowPunct/>
        <w:topLinePunct w:val="0"/>
        <w:bidi w:val="0"/>
        <w:spacing w:after="0" w:line="600" w:lineRule="exact"/>
        <w:rPr>
          <w:rFonts w:ascii="仿宋" w:hAnsi="仿宋" w:eastAsia="仿宋" w:cs="仿宋"/>
          <w:sz w:val="32"/>
          <w:szCs w:val="32"/>
          <w:highlight w:val="yellow"/>
          <w:u w:val="none" w:color="auto"/>
        </w:rPr>
      </w:pPr>
      <w:r>
        <w:rPr>
          <w:rFonts w:hint="eastAsia" w:ascii="仿宋" w:hAnsi="仿宋" w:eastAsia="仿宋" w:cs="仿宋"/>
          <w:w w:val="95"/>
          <w:sz w:val="32"/>
          <w:szCs w:val="32"/>
          <w:u w:val="none" w:color="auto"/>
        </w:rPr>
        <w:t>一、主要职能、职责</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二、单位机构设置及预算单位构成情况</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仿宋" w:hAnsi="仿宋" w:eastAsia="仿宋" w:cs="仿宋"/>
          <w:sz w:val="32"/>
          <w:szCs w:val="32"/>
          <w:u w:val="none" w:color="auto"/>
        </w:rPr>
        <w:t>三、</w:t>
      </w:r>
      <w:r>
        <w:rPr>
          <w:rFonts w:hint="eastAsia" w:ascii="仿宋" w:hAnsi="仿宋" w:eastAsia="仿宋" w:cs="仿宋"/>
          <w:sz w:val="32"/>
          <w:szCs w:val="32"/>
          <w:u w:val="none" w:color="auto"/>
          <w:lang w:val="en-US" w:eastAsia="zh-CN"/>
        </w:rPr>
        <w:t>2024</w:t>
      </w:r>
      <w:r>
        <w:rPr>
          <w:rFonts w:hint="eastAsia" w:ascii="仿宋" w:hAnsi="仿宋" w:eastAsia="仿宋" w:cs="仿宋"/>
          <w:sz w:val="32"/>
          <w:szCs w:val="32"/>
          <w:u w:val="none" w:color="auto"/>
        </w:rPr>
        <w:t>年度单位主要工作任务及目标</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 xml:space="preserve">第二部分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年度单位预算情况说明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一、收支预算总体情况说明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二、收入预算情况说明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三、支出预算情况说明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四、财政拨款收支预算总体情况说明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五、一般公共预算支出预算情况说明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六、一般公共预算基本支出预算情况说明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七、一般公共预算“三公”经费支出预算情况说明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八、政府性基金预算支出预算情况说明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九、国有资本经营预算支出预算情况说明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十、项目支出预算情况说明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十一、一般公共预算机关运行经费支出预算情况说明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十二、政府采购支出预算情况说明</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十三、国有资产占用情况说明</w:t>
      </w:r>
    </w:p>
    <w:p>
      <w:pPr>
        <w:pageBreakBefore w:val="0"/>
        <w:widowControl/>
        <w:kinsoku/>
        <w:wordWrap/>
        <w:overflowPunct/>
        <w:topLinePunct w:val="0"/>
        <w:bidi w:val="0"/>
        <w:spacing w:line="600" w:lineRule="exact"/>
        <w:jc w:val="left"/>
        <w:rPr>
          <w:rFonts w:ascii="仿宋" w:hAnsi="仿宋" w:eastAsia="仿宋" w:cs="仿宋"/>
          <w:sz w:val="32"/>
          <w:szCs w:val="32"/>
          <w:u w:val="none" w:color="auto"/>
        </w:rPr>
      </w:pPr>
      <w:r>
        <w:rPr>
          <w:rFonts w:hint="eastAsia" w:ascii="仿宋" w:hAnsi="仿宋" w:eastAsia="仿宋" w:cs="仿宋"/>
          <w:sz w:val="32"/>
          <w:szCs w:val="32"/>
          <w:u w:val="none" w:color="auto"/>
        </w:rPr>
        <w:t xml:space="preserve">十四、项目绩效目标情况说明 </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第三部分 名词解释</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第四部分 预算公开联系方式及信息反馈渠道</w:t>
      </w:r>
    </w:p>
    <w:p>
      <w:pPr>
        <w:pStyle w:val="10"/>
        <w:pageBreakBefore w:val="0"/>
        <w:kinsoku/>
        <w:wordWrap/>
        <w:overflowPunct/>
        <w:topLinePunct w:val="0"/>
        <w:bidi w:val="0"/>
        <w:spacing w:after="0" w:line="600" w:lineRule="exact"/>
        <w:rPr>
          <w:rFonts w:ascii="黑体" w:hAnsi="黑体" w:eastAsia="黑体" w:cs="黑体"/>
          <w:sz w:val="32"/>
          <w:szCs w:val="32"/>
          <w:u w:val="none" w:color="auto"/>
        </w:rPr>
      </w:pPr>
      <w:r>
        <w:rPr>
          <w:rFonts w:hint="eastAsia" w:ascii="黑体" w:hAnsi="黑体" w:eastAsia="黑体" w:cs="黑体"/>
          <w:sz w:val="32"/>
          <w:szCs w:val="32"/>
          <w:u w:val="none" w:color="auto"/>
        </w:rPr>
        <w:t xml:space="preserve">第五部分 </w:t>
      </w:r>
      <w:r>
        <w:rPr>
          <w:rFonts w:hint="eastAsia" w:ascii="黑体" w:hAnsi="黑体" w:eastAsia="黑体" w:cs="黑体"/>
          <w:sz w:val="32"/>
          <w:szCs w:val="32"/>
          <w:u w:val="none" w:color="auto"/>
          <w:lang w:val="en-US" w:eastAsia="zh-CN"/>
        </w:rPr>
        <w:t>2024</w:t>
      </w:r>
      <w:r>
        <w:rPr>
          <w:rFonts w:hint="eastAsia" w:ascii="黑体" w:hAnsi="黑体" w:eastAsia="黑体" w:cs="黑体"/>
          <w:sz w:val="32"/>
          <w:szCs w:val="32"/>
          <w:u w:val="none" w:color="auto"/>
        </w:rPr>
        <w:t>年度单位预算表</w:t>
      </w:r>
    </w:p>
    <w:p>
      <w:pPr>
        <w:pStyle w:val="10"/>
        <w:pageBreakBefore w:val="0"/>
        <w:numPr>
          <w:ilvl w:val="0"/>
          <w:numId w:val="1"/>
        </w:numPr>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收支总表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二、收入总表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三、支出总表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四、财政拨款收支总表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五、一般公共预算支出表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六、一般公共预算基本支出表</w:t>
      </w:r>
    </w:p>
    <w:p>
      <w:pPr>
        <w:pStyle w:val="10"/>
        <w:pageBreakBefore w:val="0"/>
        <w:kinsoku/>
        <w:wordWrap/>
        <w:overflowPunct/>
        <w:topLinePunct w:val="0"/>
        <w:bidi w:val="0"/>
        <w:spacing w:after="0" w:line="600" w:lineRule="exact"/>
        <w:rPr>
          <w:rFonts w:ascii="仿宋" w:hAnsi="仿宋" w:eastAsia="仿宋" w:cs="仿宋"/>
          <w:spacing w:val="-16"/>
          <w:w w:val="95"/>
          <w:sz w:val="32"/>
          <w:szCs w:val="32"/>
          <w:u w:val="none" w:color="auto"/>
        </w:rPr>
      </w:pPr>
      <w:r>
        <w:rPr>
          <w:rFonts w:hint="eastAsia" w:ascii="仿宋" w:hAnsi="仿宋" w:eastAsia="仿宋" w:cs="仿宋"/>
          <w:spacing w:val="-17"/>
          <w:w w:val="95"/>
          <w:sz w:val="32"/>
          <w:szCs w:val="32"/>
          <w:u w:val="none" w:color="auto"/>
        </w:rPr>
        <w:t>七、一般公共预算</w:t>
      </w:r>
      <w:r>
        <w:rPr>
          <w:rFonts w:hint="eastAsia" w:ascii="仿宋" w:hAnsi="仿宋" w:eastAsia="仿宋" w:cs="仿宋"/>
          <w:spacing w:val="-8"/>
          <w:w w:val="95"/>
          <w:sz w:val="32"/>
          <w:szCs w:val="32"/>
          <w:u w:val="none" w:color="auto"/>
        </w:rPr>
        <w:t>“</w:t>
      </w:r>
      <w:r>
        <w:rPr>
          <w:rFonts w:hint="eastAsia" w:ascii="仿宋" w:hAnsi="仿宋" w:eastAsia="仿宋" w:cs="仿宋"/>
          <w:spacing w:val="-15"/>
          <w:w w:val="95"/>
          <w:sz w:val="32"/>
          <w:szCs w:val="32"/>
          <w:u w:val="none" w:color="auto"/>
        </w:rPr>
        <w:t>三公</w:t>
      </w:r>
      <w:r>
        <w:rPr>
          <w:rFonts w:hint="eastAsia" w:ascii="仿宋" w:hAnsi="仿宋" w:eastAsia="仿宋" w:cs="仿宋"/>
          <w:spacing w:val="-10"/>
          <w:w w:val="95"/>
          <w:sz w:val="32"/>
          <w:szCs w:val="32"/>
          <w:u w:val="none" w:color="auto"/>
        </w:rPr>
        <w:t>”</w:t>
      </w:r>
      <w:r>
        <w:rPr>
          <w:rFonts w:hint="eastAsia" w:ascii="仿宋" w:hAnsi="仿宋" w:eastAsia="仿宋" w:cs="仿宋"/>
          <w:spacing w:val="-16"/>
          <w:w w:val="95"/>
          <w:sz w:val="32"/>
          <w:szCs w:val="32"/>
          <w:u w:val="none" w:color="auto"/>
        </w:rPr>
        <w:t>经费支出表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pacing w:val="-16"/>
          <w:w w:val="95"/>
          <w:sz w:val="32"/>
          <w:szCs w:val="32"/>
          <w:u w:val="none" w:color="auto"/>
        </w:rPr>
        <w:t>八、政府性基金预算支出表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九、国有资本经营预算支出表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十、项目支出表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sz w:val="32"/>
          <w:szCs w:val="32"/>
          <w:u w:val="none" w:color="auto"/>
        </w:rPr>
        <w:t>十一、项目绩效目标表</w:t>
      </w:r>
    </w:p>
    <w:p>
      <w:pPr>
        <w:pStyle w:val="10"/>
        <w:pageBreakBefore w:val="0"/>
        <w:kinsoku/>
        <w:wordWrap/>
        <w:overflowPunct/>
        <w:topLinePunct w:val="0"/>
        <w:bidi w:val="0"/>
        <w:spacing w:after="0" w:line="600" w:lineRule="exact"/>
        <w:rPr>
          <w:rFonts w:ascii="仿宋" w:hAnsi="仿宋" w:eastAsia="仿宋" w:cs="仿宋"/>
          <w:sz w:val="32"/>
          <w:szCs w:val="32"/>
          <w:u w:val="none" w:color="auto"/>
        </w:rPr>
      </w:pPr>
      <w:r>
        <w:rPr>
          <w:rFonts w:hint="eastAsia" w:ascii="仿宋" w:hAnsi="仿宋" w:eastAsia="仿宋" w:cs="仿宋"/>
          <w:w w:val="95"/>
          <w:sz w:val="32"/>
          <w:szCs w:val="32"/>
          <w:u w:val="none" w:color="auto"/>
        </w:rPr>
        <w:t>十二、政府采购预算表</w:t>
      </w:r>
    </w:p>
    <w:p>
      <w:pPr>
        <w:pStyle w:val="2"/>
        <w:pageBreakBefore w:val="0"/>
        <w:kinsoku/>
        <w:wordWrap/>
        <w:overflowPunct/>
        <w:topLinePunct w:val="0"/>
        <w:bidi w:val="0"/>
        <w:spacing w:after="0" w:line="600" w:lineRule="exact"/>
        <w:rPr>
          <w:rFonts w:hint="default"/>
          <w:u w:val="none" w:color="auto"/>
        </w:rPr>
        <w:sectPr>
          <w:headerReference r:id="rId3" w:type="default"/>
          <w:footerReference r:id="rId4" w:type="default"/>
          <w:pgSz w:w="11910" w:h="16840"/>
          <w:pgMar w:top="1582" w:right="1680" w:bottom="278" w:left="1640" w:header="720" w:footer="720" w:gutter="0"/>
          <w:pgNumType w:fmt="numberInDash"/>
          <w:cols w:space="0" w:num="1"/>
        </w:sect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第一部分  单位概况</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color="auto"/>
        </w:rPr>
      </w:pPr>
    </w:p>
    <w:p>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val="none" w:color="auto"/>
        </w:rPr>
      </w:pPr>
      <w:r>
        <w:rPr>
          <w:rFonts w:hint="eastAsia" w:eastAsia="黑体" w:cs="黑体"/>
          <w:b w:val="0"/>
          <w:bCs w:val="0"/>
          <w:sz w:val="32"/>
          <w:szCs w:val="36"/>
          <w:u w:val="none" w:color="auto"/>
        </w:rPr>
        <w:t>主要职能职责</w:t>
      </w:r>
    </w:p>
    <w:p>
      <w:pPr>
        <w:pageBreakBefore w:val="0"/>
        <w:numPr>
          <w:ilvl w:val="0"/>
          <w:numId w:val="0"/>
        </w:numPr>
        <w:kinsoku/>
        <w:wordWrap/>
        <w:overflowPunct/>
        <w:topLinePunct w:val="0"/>
        <w:bidi w:val="0"/>
        <w:spacing w:line="570" w:lineRule="exact"/>
        <w:ind w:firstLine="676" w:firstLineChars="200"/>
        <w:outlineLvl w:val="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9"/>
          <w:sz w:val="32"/>
          <w:szCs w:val="32"/>
          <w:u w:val="none" w:color="auto"/>
        </w:rPr>
        <w:t>根据《中共包头市委办公室、包头市人民政府办公室</w:t>
      </w:r>
      <w:r>
        <w:rPr>
          <w:rFonts w:hint="eastAsia" w:ascii="仿宋_GB2312" w:hAnsi="仿宋_GB2312" w:eastAsia="仿宋_GB2312" w:cs="仿宋_GB2312"/>
          <w:spacing w:val="7"/>
          <w:sz w:val="32"/>
          <w:szCs w:val="32"/>
          <w:u w:val="none" w:color="auto"/>
        </w:rPr>
        <w:t>关</w:t>
      </w:r>
      <w:r>
        <w:rPr>
          <w:rFonts w:hint="eastAsia" w:ascii="仿宋_GB2312" w:hAnsi="仿宋_GB2312" w:eastAsia="仿宋_GB2312" w:cs="仿宋_GB2312"/>
          <w:spacing w:val="4"/>
          <w:sz w:val="32"/>
          <w:szCs w:val="32"/>
          <w:u w:val="none" w:color="auto"/>
        </w:rPr>
        <w:t>于印发〈</w:t>
      </w:r>
      <w:r>
        <w:rPr>
          <w:rFonts w:hint="eastAsia" w:ascii="仿宋_GB2312" w:hAnsi="仿宋_GB2312" w:eastAsia="仿宋_GB2312" w:cs="仿宋_GB2312"/>
          <w:spacing w:val="2"/>
          <w:sz w:val="32"/>
          <w:szCs w:val="32"/>
          <w:u w:val="none" w:color="auto"/>
        </w:rPr>
        <w:t>包头市民政局职能配置、内设机构和人员编制规定〉</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4"/>
          <w:sz w:val="32"/>
          <w:szCs w:val="32"/>
          <w:u w:val="none" w:color="auto"/>
        </w:rPr>
        <w:t>的</w:t>
      </w:r>
      <w:r>
        <w:rPr>
          <w:rFonts w:hint="eastAsia" w:ascii="仿宋_GB2312" w:hAnsi="仿宋_GB2312" w:eastAsia="仿宋_GB2312" w:cs="仿宋_GB2312"/>
          <w:spacing w:val="-9"/>
          <w:sz w:val="32"/>
          <w:szCs w:val="32"/>
          <w:u w:val="none" w:color="auto"/>
        </w:rPr>
        <w:t>通</w:t>
      </w:r>
      <w:r>
        <w:rPr>
          <w:rFonts w:hint="eastAsia" w:ascii="仿宋_GB2312" w:hAnsi="仿宋_GB2312" w:eastAsia="仿宋_GB2312" w:cs="仿宋_GB2312"/>
          <w:spacing w:val="-7"/>
          <w:sz w:val="32"/>
          <w:szCs w:val="32"/>
          <w:u w:val="none" w:color="auto"/>
        </w:rPr>
        <w:t>知》( 室发〔2019〕33 号 ) 精神，包头市民政局是市人</w:t>
      </w:r>
      <w:r>
        <w:rPr>
          <w:rFonts w:hint="eastAsia" w:ascii="仿宋_GB2312" w:hAnsi="仿宋_GB2312" w:eastAsia="仿宋_GB2312" w:cs="仿宋_GB2312"/>
          <w:spacing w:val="8"/>
          <w:sz w:val="32"/>
          <w:szCs w:val="32"/>
          <w:u w:val="none" w:color="auto"/>
        </w:rPr>
        <w:t>民</w:t>
      </w:r>
      <w:r>
        <w:rPr>
          <w:rFonts w:hint="eastAsia" w:ascii="仿宋_GB2312" w:hAnsi="仿宋_GB2312" w:eastAsia="仿宋_GB2312" w:cs="仿宋_GB2312"/>
          <w:spacing w:val="7"/>
          <w:sz w:val="32"/>
          <w:szCs w:val="32"/>
          <w:u w:val="none" w:color="auto"/>
        </w:rPr>
        <w:t>政府工作部门，为正处级。</w:t>
      </w:r>
    </w:p>
    <w:p>
      <w:pPr>
        <w:pageBreakBefore w:val="0"/>
        <w:kinsoku/>
        <w:wordWrap/>
        <w:overflowPunct/>
        <w:topLinePunct w:val="0"/>
        <w:bidi w:val="0"/>
        <w:spacing w:before="188" w:line="570" w:lineRule="exact"/>
        <w:ind w:left="26" w:right="156" w:firstLine="68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26"/>
          <w:sz w:val="32"/>
          <w:szCs w:val="32"/>
          <w:u w:val="none" w:color="auto"/>
        </w:rPr>
        <w:t>1</w:t>
      </w:r>
      <w:r>
        <w:rPr>
          <w:rFonts w:hint="eastAsia" w:ascii="仿宋_GB2312" w:hAnsi="仿宋_GB2312" w:eastAsia="仿宋_GB2312" w:cs="仿宋_GB2312"/>
          <w:spacing w:val="14"/>
          <w:sz w:val="32"/>
          <w:szCs w:val="32"/>
          <w:u w:val="none" w:color="auto"/>
        </w:rPr>
        <w:t>、</w:t>
      </w:r>
      <w:r>
        <w:rPr>
          <w:rFonts w:hint="eastAsia" w:ascii="仿宋_GB2312" w:hAnsi="仿宋_GB2312" w:eastAsia="仿宋_GB2312" w:cs="仿宋_GB2312"/>
          <w:spacing w:val="13"/>
          <w:sz w:val="32"/>
          <w:szCs w:val="32"/>
          <w:u w:val="none" w:color="auto"/>
        </w:rPr>
        <w:t>起草全市民政工作相关规范性文件，组织实施民政</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6"/>
          <w:sz w:val="32"/>
          <w:szCs w:val="32"/>
          <w:u w:val="none" w:color="auto"/>
        </w:rPr>
        <w:t>行</w:t>
      </w:r>
      <w:r>
        <w:rPr>
          <w:rFonts w:hint="eastAsia" w:ascii="仿宋_GB2312" w:hAnsi="仿宋_GB2312" w:eastAsia="仿宋_GB2312" w:cs="仿宋_GB2312"/>
          <w:spacing w:val="5"/>
          <w:sz w:val="32"/>
          <w:szCs w:val="32"/>
          <w:u w:val="none" w:color="auto"/>
        </w:rPr>
        <w:t>业标准。</w:t>
      </w:r>
    </w:p>
    <w:p>
      <w:pPr>
        <w:pageBreakBefore w:val="0"/>
        <w:kinsoku/>
        <w:wordWrap/>
        <w:overflowPunct/>
        <w:topLinePunct w:val="0"/>
        <w:bidi w:val="0"/>
        <w:spacing w:before="2" w:line="570" w:lineRule="exact"/>
        <w:ind w:left="30" w:right="156" w:firstLine="668"/>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2、拟订全市社会团体、基金会、社会服务机构等社</w:t>
      </w:r>
      <w:r>
        <w:rPr>
          <w:rFonts w:hint="eastAsia" w:ascii="仿宋_GB2312" w:hAnsi="仿宋_GB2312" w:eastAsia="仿宋_GB2312" w:cs="仿宋_GB2312"/>
          <w:spacing w:val="11"/>
          <w:sz w:val="32"/>
          <w:szCs w:val="32"/>
          <w:u w:val="none" w:color="auto"/>
        </w:rPr>
        <w:t>会</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6"/>
          <w:sz w:val="32"/>
          <w:szCs w:val="32"/>
          <w:u w:val="none" w:color="auto"/>
        </w:rPr>
        <w:t>组织</w:t>
      </w:r>
      <w:r>
        <w:rPr>
          <w:rFonts w:hint="eastAsia" w:ascii="仿宋_GB2312" w:hAnsi="仿宋_GB2312" w:eastAsia="仿宋_GB2312" w:cs="仿宋_GB2312"/>
          <w:spacing w:val="11"/>
          <w:sz w:val="32"/>
          <w:szCs w:val="32"/>
          <w:u w:val="none" w:color="auto"/>
        </w:rPr>
        <w:t>发</w:t>
      </w:r>
      <w:r>
        <w:rPr>
          <w:rFonts w:hint="eastAsia" w:ascii="仿宋_GB2312" w:hAnsi="仿宋_GB2312" w:eastAsia="仿宋_GB2312" w:cs="仿宋_GB2312"/>
          <w:spacing w:val="8"/>
          <w:sz w:val="32"/>
          <w:szCs w:val="32"/>
          <w:u w:val="none" w:color="auto"/>
        </w:rPr>
        <w:t>展规划和管理办法，依法对社会组织进行登记管理和</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6"/>
          <w:sz w:val="32"/>
          <w:szCs w:val="32"/>
          <w:u w:val="none" w:color="auto"/>
        </w:rPr>
        <w:t>执</w:t>
      </w:r>
      <w:r>
        <w:rPr>
          <w:rFonts w:hint="eastAsia" w:ascii="仿宋_GB2312" w:hAnsi="仿宋_GB2312" w:eastAsia="仿宋_GB2312" w:cs="仿宋_GB2312"/>
          <w:spacing w:val="4"/>
          <w:sz w:val="32"/>
          <w:szCs w:val="32"/>
          <w:u w:val="none" w:color="auto"/>
        </w:rPr>
        <w:t>法监督。</w:t>
      </w:r>
    </w:p>
    <w:p>
      <w:pPr>
        <w:pageBreakBefore w:val="0"/>
        <w:kinsoku/>
        <w:wordWrap/>
        <w:overflowPunct/>
        <w:topLinePunct w:val="0"/>
        <w:bidi w:val="0"/>
        <w:spacing w:before="3" w:line="570" w:lineRule="exact"/>
        <w:ind w:left="23" w:right="153" w:firstLine="687"/>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22"/>
          <w:sz w:val="32"/>
          <w:szCs w:val="32"/>
          <w:u w:val="none" w:color="auto"/>
        </w:rPr>
        <w:t>3</w:t>
      </w:r>
      <w:r>
        <w:rPr>
          <w:rFonts w:hint="eastAsia" w:ascii="仿宋_GB2312" w:hAnsi="仿宋_GB2312" w:eastAsia="仿宋_GB2312" w:cs="仿宋_GB2312"/>
          <w:spacing w:val="13"/>
          <w:sz w:val="32"/>
          <w:szCs w:val="32"/>
          <w:u w:val="none" w:color="auto"/>
        </w:rPr>
        <w:t>、拟订全市社会救助政策和标准，统筹社会救助体系</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1"/>
          <w:sz w:val="32"/>
          <w:szCs w:val="32"/>
          <w:u w:val="none" w:color="auto"/>
        </w:rPr>
        <w:t>建</w:t>
      </w:r>
      <w:r>
        <w:rPr>
          <w:rFonts w:hint="eastAsia" w:ascii="仿宋_GB2312" w:hAnsi="仿宋_GB2312" w:eastAsia="仿宋_GB2312" w:cs="仿宋_GB2312"/>
          <w:spacing w:val="9"/>
          <w:sz w:val="32"/>
          <w:szCs w:val="32"/>
          <w:u w:val="none" w:color="auto"/>
        </w:rPr>
        <w:t>设，负责城乡最低生活保障、特困人员救助供养、临时救</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6"/>
          <w:sz w:val="32"/>
          <w:szCs w:val="32"/>
          <w:u w:val="none" w:color="auto"/>
        </w:rPr>
        <w:t>助</w:t>
      </w:r>
      <w:r>
        <w:rPr>
          <w:rFonts w:hint="eastAsia" w:ascii="仿宋_GB2312" w:hAnsi="仿宋_GB2312" w:eastAsia="仿宋_GB2312" w:cs="仿宋_GB2312"/>
          <w:spacing w:val="12"/>
          <w:sz w:val="32"/>
          <w:szCs w:val="32"/>
          <w:u w:val="none" w:color="auto"/>
        </w:rPr>
        <w:t>、</w:t>
      </w:r>
      <w:r>
        <w:rPr>
          <w:rFonts w:hint="eastAsia" w:ascii="仿宋_GB2312" w:hAnsi="仿宋_GB2312" w:eastAsia="仿宋_GB2312" w:cs="仿宋_GB2312"/>
          <w:spacing w:val="8"/>
          <w:sz w:val="32"/>
          <w:szCs w:val="32"/>
          <w:u w:val="none" w:color="auto"/>
        </w:rPr>
        <w:t>生活无着流浪乞讨人员救助工作。</w:t>
      </w:r>
    </w:p>
    <w:p>
      <w:pPr>
        <w:keepNext w:val="0"/>
        <w:keepLines w:val="0"/>
        <w:pageBreakBefore w:val="0"/>
        <w:widowControl w:val="0"/>
        <w:kinsoku/>
        <w:wordWrap/>
        <w:overflowPunct/>
        <w:topLinePunct w:val="0"/>
        <w:autoSpaceDE/>
        <w:autoSpaceDN/>
        <w:bidi w:val="0"/>
        <w:adjustRightInd/>
        <w:snapToGrid/>
        <w:spacing w:before="1" w:line="570" w:lineRule="exact"/>
        <w:ind w:left="697"/>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4、拟订全市城乡基层群众自治建设和城乡社区治理</w:t>
      </w:r>
      <w:r>
        <w:rPr>
          <w:rFonts w:hint="eastAsia" w:ascii="仿宋_GB2312" w:hAnsi="仿宋_GB2312" w:eastAsia="仿宋_GB2312" w:cs="仿宋_GB2312"/>
          <w:spacing w:val="13"/>
          <w:sz w:val="32"/>
          <w:szCs w:val="32"/>
          <w:u w:val="none" w:color="auto"/>
        </w:rPr>
        <w:t>政</w:t>
      </w:r>
    </w:p>
    <w:p>
      <w:pPr>
        <w:keepNext w:val="0"/>
        <w:keepLines w:val="0"/>
        <w:pageBreakBefore w:val="0"/>
        <w:widowControl w:val="0"/>
        <w:kinsoku/>
        <w:wordWrap/>
        <w:overflowPunct/>
        <w:topLinePunct w:val="0"/>
        <w:autoSpaceDE/>
        <w:autoSpaceDN/>
        <w:bidi w:val="0"/>
        <w:adjustRightInd/>
        <w:snapToGrid/>
        <w:spacing w:before="151" w:line="570" w:lineRule="exact"/>
        <w:ind w:left="26" w:right="153" w:firstLine="7"/>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6"/>
          <w:sz w:val="32"/>
          <w:szCs w:val="32"/>
          <w:u w:val="none" w:color="auto"/>
        </w:rPr>
        <w:t>策，</w:t>
      </w:r>
      <w:r>
        <w:rPr>
          <w:rFonts w:hint="eastAsia" w:ascii="仿宋_GB2312" w:hAnsi="仿宋_GB2312" w:eastAsia="仿宋_GB2312" w:cs="仿宋_GB2312"/>
          <w:spacing w:val="10"/>
          <w:sz w:val="32"/>
          <w:szCs w:val="32"/>
          <w:u w:val="none" w:color="auto"/>
        </w:rPr>
        <w:t>指</w:t>
      </w:r>
      <w:r>
        <w:rPr>
          <w:rFonts w:hint="eastAsia" w:ascii="仿宋_GB2312" w:hAnsi="仿宋_GB2312" w:eastAsia="仿宋_GB2312" w:cs="仿宋_GB2312"/>
          <w:spacing w:val="8"/>
          <w:sz w:val="32"/>
          <w:szCs w:val="32"/>
          <w:u w:val="none" w:color="auto"/>
        </w:rPr>
        <w:t>导城乡社区治理体系和治理能力建设，提出加强和改</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9"/>
          <w:sz w:val="32"/>
          <w:szCs w:val="32"/>
          <w:u w:val="none" w:color="auto"/>
        </w:rPr>
        <w:t>进城乡基层政权建设的建议，推动基层民主政治建设</w:t>
      </w:r>
      <w:r>
        <w:rPr>
          <w:rFonts w:hint="eastAsia" w:ascii="仿宋_GB2312" w:hAnsi="仿宋_GB2312" w:eastAsia="仿宋_GB2312" w:cs="仿宋_GB2312"/>
          <w:spacing w:val="8"/>
          <w:sz w:val="32"/>
          <w:szCs w:val="32"/>
          <w:u w:val="none" w:color="auto"/>
        </w:rPr>
        <w:t>。</w:t>
      </w:r>
    </w:p>
    <w:p>
      <w:pPr>
        <w:pageBreakBefore w:val="0"/>
        <w:kinsoku/>
        <w:wordWrap/>
        <w:overflowPunct/>
        <w:topLinePunct w:val="0"/>
        <w:bidi w:val="0"/>
        <w:spacing w:before="2" w:line="570" w:lineRule="exact"/>
        <w:ind w:left="26" w:right="72" w:firstLine="676"/>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5</w:t>
      </w:r>
      <w:r>
        <w:rPr>
          <w:rFonts w:hint="eastAsia" w:ascii="仿宋_GB2312" w:hAnsi="仿宋_GB2312" w:eastAsia="仿宋_GB2312" w:cs="仿宋_GB2312"/>
          <w:spacing w:val="4"/>
          <w:sz w:val="32"/>
          <w:szCs w:val="32"/>
          <w:u w:val="none" w:color="auto"/>
        </w:rPr>
        <w:t>、拟订行政区划、行政区域界线管理和地名管理政策，</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9"/>
          <w:sz w:val="32"/>
          <w:szCs w:val="32"/>
          <w:u w:val="none" w:color="auto"/>
        </w:rPr>
        <w:t>承担全市行政区划变更的审核和申报工作，组织指导行政</w:t>
      </w:r>
      <w:r>
        <w:rPr>
          <w:rFonts w:hint="eastAsia" w:ascii="仿宋_GB2312" w:hAnsi="仿宋_GB2312" w:eastAsia="仿宋_GB2312" w:cs="仿宋_GB2312"/>
          <w:spacing w:val="6"/>
          <w:sz w:val="32"/>
          <w:szCs w:val="32"/>
          <w:u w:val="none" w:color="auto"/>
        </w:rPr>
        <w:t>区</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1"/>
          <w:sz w:val="32"/>
          <w:szCs w:val="32"/>
          <w:u w:val="none" w:color="auto"/>
        </w:rPr>
        <w:t>域</w:t>
      </w:r>
      <w:r>
        <w:rPr>
          <w:rFonts w:hint="eastAsia" w:ascii="仿宋_GB2312" w:hAnsi="仿宋_GB2312" w:eastAsia="仿宋_GB2312" w:cs="仿宋_GB2312"/>
          <w:spacing w:val="9"/>
          <w:sz w:val="32"/>
          <w:szCs w:val="32"/>
          <w:u w:val="none" w:color="auto"/>
        </w:rPr>
        <w:t>界线的勘定和管理工作，按规定权限负责地名管理工作。</w:t>
      </w:r>
    </w:p>
    <w:p>
      <w:pPr>
        <w:pageBreakBefore w:val="0"/>
        <w:kinsoku/>
        <w:wordWrap/>
        <w:overflowPunct/>
        <w:topLinePunct w:val="0"/>
        <w:bidi w:val="0"/>
        <w:spacing w:before="1" w:line="570" w:lineRule="exact"/>
        <w:ind w:left="701"/>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9"/>
          <w:sz w:val="32"/>
          <w:szCs w:val="32"/>
          <w:u w:val="none" w:color="auto"/>
        </w:rPr>
        <w:t>6</w:t>
      </w:r>
      <w:r>
        <w:rPr>
          <w:rFonts w:hint="eastAsia" w:ascii="仿宋_GB2312" w:hAnsi="仿宋_GB2312" w:eastAsia="仿宋_GB2312" w:cs="仿宋_GB2312"/>
          <w:spacing w:val="8"/>
          <w:sz w:val="32"/>
          <w:szCs w:val="32"/>
          <w:u w:val="none" w:color="auto"/>
        </w:rPr>
        <w:t>、拟订婚姻管理政策并组织实施，推进婚俗改革。</w:t>
      </w:r>
    </w:p>
    <w:p>
      <w:pPr>
        <w:pageBreakBefore w:val="0"/>
        <w:kinsoku/>
        <w:wordWrap/>
        <w:overflowPunct/>
        <w:topLinePunct w:val="0"/>
        <w:bidi w:val="0"/>
        <w:spacing w:line="570" w:lineRule="exact"/>
        <w:rPr>
          <w:rFonts w:hint="eastAsia" w:ascii="仿宋_GB2312" w:hAnsi="仿宋_GB2312" w:eastAsia="仿宋_GB2312" w:cs="仿宋_GB2312"/>
          <w:sz w:val="32"/>
          <w:szCs w:val="32"/>
          <w:u w:val="none" w:color="auto"/>
        </w:rPr>
        <w:sectPr>
          <w:pgSz w:w="11906" w:h="16839"/>
          <w:pgMar w:top="1431" w:right="1531" w:bottom="0" w:left="1531" w:header="0" w:footer="0" w:gutter="0"/>
          <w:cols w:space="720" w:num="1"/>
        </w:sectPr>
      </w:pPr>
    </w:p>
    <w:p>
      <w:pPr>
        <w:pageBreakBefore w:val="0"/>
        <w:kinsoku/>
        <w:wordWrap/>
        <w:overflowPunct/>
        <w:topLinePunct w:val="0"/>
        <w:bidi w:val="0"/>
        <w:spacing w:before="185" w:line="570" w:lineRule="exact"/>
        <w:ind w:left="36" w:right="97" w:firstLine="665"/>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7、拟订殡葬管理政策、服务规范并组织实施，推进</w:t>
      </w:r>
      <w:r>
        <w:rPr>
          <w:rFonts w:hint="eastAsia" w:ascii="仿宋_GB2312" w:hAnsi="仿宋_GB2312" w:eastAsia="仿宋_GB2312" w:cs="仿宋_GB2312"/>
          <w:spacing w:val="9"/>
          <w:sz w:val="32"/>
          <w:szCs w:val="32"/>
          <w:u w:val="none" w:color="auto"/>
        </w:rPr>
        <w:t>殡</w:t>
      </w:r>
      <w:r>
        <w:rPr>
          <w:rFonts w:hint="eastAsia" w:ascii="仿宋_GB2312" w:hAnsi="仿宋_GB2312" w:eastAsia="仿宋_GB2312" w:cs="仿宋_GB2312"/>
          <w:spacing w:val="2"/>
          <w:sz w:val="32"/>
          <w:szCs w:val="32"/>
          <w:u w:val="none" w:color="auto"/>
        </w:rPr>
        <w:t>葬改革</w:t>
      </w:r>
      <w:r>
        <w:rPr>
          <w:rFonts w:hint="eastAsia" w:ascii="仿宋_GB2312" w:hAnsi="仿宋_GB2312" w:eastAsia="仿宋_GB2312" w:cs="仿宋_GB2312"/>
          <w:spacing w:val="1"/>
          <w:sz w:val="32"/>
          <w:szCs w:val="32"/>
          <w:u w:val="none" w:color="auto"/>
        </w:rPr>
        <w:t>。</w:t>
      </w:r>
    </w:p>
    <w:p>
      <w:pPr>
        <w:pageBreakBefore w:val="0"/>
        <w:kinsoku/>
        <w:wordWrap/>
        <w:overflowPunct/>
        <w:topLinePunct w:val="0"/>
        <w:bidi w:val="0"/>
        <w:spacing w:before="2" w:line="570" w:lineRule="exact"/>
        <w:ind w:left="26" w:right="11" w:firstLine="674"/>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8"/>
          <w:sz w:val="32"/>
          <w:szCs w:val="32"/>
          <w:u w:val="none" w:color="auto"/>
        </w:rPr>
        <w:t>8</w:t>
      </w:r>
      <w:r>
        <w:rPr>
          <w:rFonts w:hint="eastAsia" w:ascii="仿宋_GB2312" w:hAnsi="仿宋_GB2312" w:eastAsia="仿宋_GB2312" w:cs="仿宋_GB2312"/>
          <w:spacing w:val="7"/>
          <w:sz w:val="32"/>
          <w:szCs w:val="32"/>
          <w:u w:val="none" w:color="auto"/>
        </w:rPr>
        <w:t>、</w:t>
      </w:r>
      <w:r>
        <w:rPr>
          <w:rFonts w:hint="eastAsia" w:ascii="仿宋_GB2312" w:hAnsi="仿宋_GB2312" w:eastAsia="仿宋_GB2312" w:cs="仿宋_GB2312"/>
          <w:spacing w:val="4"/>
          <w:sz w:val="32"/>
          <w:szCs w:val="32"/>
          <w:u w:val="none" w:color="auto"/>
        </w:rPr>
        <w:t>统筹推进、督促指导、监督管理全市养老服务工作，</w:t>
      </w:r>
      <w:r>
        <w:rPr>
          <w:rFonts w:hint="eastAsia" w:ascii="仿宋_GB2312" w:hAnsi="仿宋_GB2312" w:eastAsia="仿宋_GB2312" w:cs="仿宋_GB2312"/>
          <w:spacing w:val="9"/>
          <w:sz w:val="32"/>
          <w:szCs w:val="32"/>
          <w:u w:val="none" w:color="auto"/>
        </w:rPr>
        <w:t>拟订养老服务体系建设规划、政策、标准并组织实施，承</w:t>
      </w:r>
      <w:r>
        <w:rPr>
          <w:rFonts w:hint="eastAsia" w:ascii="仿宋_GB2312" w:hAnsi="仿宋_GB2312" w:eastAsia="仿宋_GB2312" w:cs="仿宋_GB2312"/>
          <w:spacing w:val="6"/>
          <w:sz w:val="32"/>
          <w:szCs w:val="32"/>
          <w:u w:val="none" w:color="auto"/>
        </w:rPr>
        <w:t>担</w:t>
      </w:r>
      <w:r>
        <w:rPr>
          <w:rFonts w:hint="eastAsia" w:ascii="仿宋_GB2312" w:hAnsi="仿宋_GB2312" w:eastAsia="仿宋_GB2312" w:cs="仿宋_GB2312"/>
          <w:spacing w:val="16"/>
          <w:sz w:val="32"/>
          <w:szCs w:val="32"/>
          <w:u w:val="none" w:color="auto"/>
        </w:rPr>
        <w:t>老</w:t>
      </w:r>
      <w:r>
        <w:rPr>
          <w:rFonts w:hint="eastAsia" w:ascii="仿宋_GB2312" w:hAnsi="仿宋_GB2312" w:eastAsia="仿宋_GB2312" w:cs="仿宋_GB2312"/>
          <w:spacing w:val="11"/>
          <w:sz w:val="32"/>
          <w:szCs w:val="32"/>
          <w:u w:val="none" w:color="auto"/>
        </w:rPr>
        <w:t>年</w:t>
      </w:r>
      <w:r>
        <w:rPr>
          <w:rFonts w:hint="eastAsia" w:ascii="仿宋_GB2312" w:hAnsi="仿宋_GB2312" w:eastAsia="仿宋_GB2312" w:cs="仿宋_GB2312"/>
          <w:spacing w:val="8"/>
          <w:sz w:val="32"/>
          <w:szCs w:val="32"/>
          <w:u w:val="none" w:color="auto"/>
        </w:rPr>
        <w:t>人福利和特殊困难老年人救助工作。</w:t>
      </w:r>
    </w:p>
    <w:p>
      <w:pPr>
        <w:pageBreakBefore w:val="0"/>
        <w:kinsoku/>
        <w:wordWrap/>
        <w:overflowPunct/>
        <w:topLinePunct w:val="0"/>
        <w:bidi w:val="0"/>
        <w:spacing w:before="2" w:line="570" w:lineRule="exact"/>
        <w:ind w:left="22" w:right="97" w:firstLine="678"/>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4"/>
          <w:sz w:val="32"/>
          <w:szCs w:val="32"/>
          <w:u w:val="none" w:color="auto"/>
        </w:rPr>
        <w:t>9、拟订全市残疾人权益保护政策，统筹推进残疾人</w:t>
      </w:r>
      <w:r>
        <w:rPr>
          <w:rFonts w:hint="eastAsia" w:ascii="仿宋_GB2312" w:hAnsi="仿宋_GB2312" w:eastAsia="仿宋_GB2312" w:cs="仿宋_GB2312"/>
          <w:spacing w:val="9"/>
          <w:sz w:val="32"/>
          <w:szCs w:val="32"/>
          <w:u w:val="none" w:color="auto"/>
        </w:rPr>
        <w:t>福利制度建设和康复辅助器具产业发展</w:t>
      </w:r>
      <w:r>
        <w:rPr>
          <w:rFonts w:hint="eastAsia" w:ascii="仿宋_GB2312" w:hAnsi="仿宋_GB2312" w:eastAsia="仿宋_GB2312" w:cs="仿宋_GB2312"/>
          <w:spacing w:val="6"/>
          <w:sz w:val="32"/>
          <w:szCs w:val="32"/>
          <w:u w:val="none" w:color="auto"/>
        </w:rPr>
        <w:t>。</w:t>
      </w:r>
    </w:p>
    <w:p>
      <w:pPr>
        <w:pageBreakBefore w:val="0"/>
        <w:kinsoku/>
        <w:wordWrap/>
        <w:overflowPunct/>
        <w:topLinePunct w:val="0"/>
        <w:bidi w:val="0"/>
        <w:spacing w:before="2" w:line="570" w:lineRule="exact"/>
        <w:ind w:left="41" w:right="95" w:firstLine="665"/>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10、拟订儿童福利、孤弃儿童保障、儿童收养、儿童</w:t>
      </w:r>
      <w:r>
        <w:rPr>
          <w:rFonts w:hint="eastAsia" w:ascii="仿宋_GB2312" w:hAnsi="仿宋_GB2312" w:eastAsia="仿宋_GB2312" w:cs="仿宋_GB2312"/>
          <w:spacing w:val="5"/>
          <w:sz w:val="32"/>
          <w:szCs w:val="32"/>
          <w:u w:val="none" w:color="auto"/>
        </w:rPr>
        <w:t>救</w:t>
      </w:r>
      <w:r>
        <w:rPr>
          <w:rFonts w:hint="eastAsia" w:ascii="仿宋_GB2312" w:hAnsi="仿宋_GB2312" w:eastAsia="仿宋_GB2312" w:cs="仿宋_GB2312"/>
          <w:spacing w:val="16"/>
          <w:sz w:val="32"/>
          <w:szCs w:val="32"/>
          <w:u w:val="none" w:color="auto"/>
        </w:rPr>
        <w:t>助</w:t>
      </w:r>
      <w:r>
        <w:rPr>
          <w:rFonts w:hint="eastAsia" w:ascii="仿宋_GB2312" w:hAnsi="仿宋_GB2312" w:eastAsia="仿宋_GB2312" w:cs="仿宋_GB2312"/>
          <w:spacing w:val="8"/>
          <w:sz w:val="32"/>
          <w:szCs w:val="32"/>
          <w:u w:val="none" w:color="auto"/>
        </w:rPr>
        <w:t>保护政策、标准，健全农村牧区留守儿童关爱服务体系和</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0"/>
          <w:sz w:val="32"/>
          <w:szCs w:val="32"/>
          <w:u w:val="none" w:color="auto"/>
        </w:rPr>
        <w:t>困</w:t>
      </w:r>
      <w:r>
        <w:rPr>
          <w:rFonts w:hint="eastAsia" w:ascii="仿宋_GB2312" w:hAnsi="仿宋_GB2312" w:eastAsia="仿宋_GB2312" w:cs="仿宋_GB2312"/>
          <w:spacing w:val="5"/>
          <w:sz w:val="32"/>
          <w:szCs w:val="32"/>
          <w:u w:val="none" w:color="auto"/>
        </w:rPr>
        <w:t>境儿童保障制度。</w:t>
      </w:r>
    </w:p>
    <w:p>
      <w:pPr>
        <w:pageBreakBefore w:val="0"/>
        <w:kinsoku/>
        <w:wordWrap/>
        <w:overflowPunct/>
        <w:topLinePunct w:val="0"/>
        <w:bidi w:val="0"/>
        <w:spacing w:before="1" w:line="570" w:lineRule="exact"/>
        <w:ind w:firstLine="668"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11、组织拟订促进慈善事业发展政策，指导社会捐助</w:t>
      </w:r>
      <w:r>
        <w:rPr>
          <w:rFonts w:hint="eastAsia" w:ascii="仿宋_GB2312" w:hAnsi="仿宋_GB2312" w:eastAsia="仿宋_GB2312" w:cs="仿宋_GB2312"/>
          <w:spacing w:val="3"/>
          <w:sz w:val="32"/>
          <w:szCs w:val="32"/>
          <w:u w:val="none" w:color="auto"/>
        </w:rPr>
        <w:t>工</w:t>
      </w:r>
      <w:r>
        <w:rPr>
          <w:rFonts w:hint="eastAsia" w:ascii="仿宋_GB2312" w:hAnsi="仿宋_GB2312" w:eastAsia="仿宋_GB2312" w:cs="仿宋_GB2312"/>
          <w:spacing w:val="8"/>
          <w:sz w:val="32"/>
          <w:szCs w:val="32"/>
          <w:u w:val="none" w:color="auto"/>
        </w:rPr>
        <w:t>作，负责福利彩票管理工作</w:t>
      </w:r>
      <w:r>
        <w:rPr>
          <w:rFonts w:hint="eastAsia" w:ascii="仿宋_GB2312" w:hAnsi="仿宋_GB2312" w:eastAsia="仿宋_GB2312" w:cs="仿宋_GB2312"/>
          <w:spacing w:val="7"/>
          <w:sz w:val="32"/>
          <w:szCs w:val="32"/>
          <w:u w:val="none" w:color="auto"/>
        </w:rPr>
        <w:t>。</w:t>
      </w:r>
    </w:p>
    <w:p>
      <w:pPr>
        <w:pageBreakBefore w:val="0"/>
        <w:kinsoku/>
        <w:wordWrap/>
        <w:overflowPunct/>
        <w:topLinePunct w:val="0"/>
        <w:bidi w:val="0"/>
        <w:spacing w:before="194" w:line="570" w:lineRule="exact"/>
        <w:ind w:left="31" w:right="95" w:firstLine="674"/>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7"/>
          <w:sz w:val="32"/>
          <w:szCs w:val="32"/>
          <w:u w:val="none" w:color="auto"/>
        </w:rPr>
        <w:t>12、拟订社会工作、志愿服务政策和标准，会同有关</w:t>
      </w:r>
      <w:r>
        <w:rPr>
          <w:rFonts w:hint="eastAsia" w:ascii="仿宋_GB2312" w:hAnsi="仿宋_GB2312" w:eastAsia="仿宋_GB2312" w:cs="仿宋_GB2312"/>
          <w:spacing w:val="5"/>
          <w:sz w:val="32"/>
          <w:szCs w:val="32"/>
          <w:u w:val="none" w:color="auto"/>
        </w:rPr>
        <w:t>部</w:t>
      </w:r>
      <w:r>
        <w:rPr>
          <w:rFonts w:hint="eastAsia" w:ascii="仿宋_GB2312" w:hAnsi="仿宋_GB2312" w:eastAsia="仿宋_GB2312" w:cs="仿宋_GB2312"/>
          <w:spacing w:val="16"/>
          <w:sz w:val="32"/>
          <w:szCs w:val="32"/>
          <w:u w:val="none" w:color="auto"/>
        </w:rPr>
        <w:t>门推</w:t>
      </w:r>
      <w:r>
        <w:rPr>
          <w:rFonts w:hint="eastAsia" w:ascii="仿宋_GB2312" w:hAnsi="仿宋_GB2312" w:eastAsia="仿宋_GB2312" w:cs="仿宋_GB2312"/>
          <w:spacing w:val="10"/>
          <w:sz w:val="32"/>
          <w:szCs w:val="32"/>
          <w:u w:val="none" w:color="auto"/>
        </w:rPr>
        <w:t>进</w:t>
      </w:r>
      <w:r>
        <w:rPr>
          <w:rFonts w:hint="eastAsia" w:ascii="仿宋_GB2312" w:hAnsi="仿宋_GB2312" w:eastAsia="仿宋_GB2312" w:cs="仿宋_GB2312"/>
          <w:spacing w:val="8"/>
          <w:sz w:val="32"/>
          <w:szCs w:val="32"/>
          <w:u w:val="none" w:color="auto"/>
        </w:rPr>
        <w:t>社会工作人才队伍建设和志愿者队伍建设。负责全市</w:t>
      </w:r>
      <w:r>
        <w:rPr>
          <w:rFonts w:hint="eastAsia" w:ascii="仿宋_GB2312" w:hAnsi="仿宋_GB2312" w:eastAsia="仿宋_GB2312" w:cs="仿宋_GB2312"/>
          <w:spacing w:val="16"/>
          <w:sz w:val="32"/>
          <w:szCs w:val="32"/>
          <w:u w:val="none" w:color="auto"/>
        </w:rPr>
        <w:t>社会</w:t>
      </w:r>
      <w:r>
        <w:rPr>
          <w:rFonts w:hint="eastAsia" w:ascii="仿宋_GB2312" w:hAnsi="仿宋_GB2312" w:eastAsia="仿宋_GB2312" w:cs="仿宋_GB2312"/>
          <w:spacing w:val="12"/>
          <w:sz w:val="32"/>
          <w:szCs w:val="32"/>
          <w:u w:val="none" w:color="auto"/>
        </w:rPr>
        <w:t>工</w:t>
      </w:r>
      <w:r>
        <w:rPr>
          <w:rFonts w:hint="eastAsia" w:ascii="仿宋_GB2312" w:hAnsi="仿宋_GB2312" w:eastAsia="仿宋_GB2312" w:cs="仿宋_GB2312"/>
          <w:spacing w:val="8"/>
          <w:sz w:val="32"/>
          <w:szCs w:val="32"/>
          <w:u w:val="none" w:color="auto"/>
        </w:rPr>
        <w:t>作人才队伍的综合管理，牵头研究制定和组织实施社</w:t>
      </w:r>
      <w:r>
        <w:rPr>
          <w:rFonts w:hint="eastAsia" w:ascii="仿宋_GB2312" w:hAnsi="仿宋_GB2312" w:eastAsia="仿宋_GB2312" w:cs="仿宋_GB2312"/>
          <w:spacing w:val="16"/>
          <w:sz w:val="32"/>
          <w:szCs w:val="32"/>
          <w:u w:val="none" w:color="auto"/>
        </w:rPr>
        <w:t>会工</w:t>
      </w:r>
      <w:r>
        <w:rPr>
          <w:rFonts w:hint="eastAsia" w:ascii="仿宋_GB2312" w:hAnsi="仿宋_GB2312" w:eastAsia="仿宋_GB2312" w:cs="仿宋_GB2312"/>
          <w:spacing w:val="8"/>
          <w:sz w:val="32"/>
          <w:szCs w:val="32"/>
          <w:u w:val="none" w:color="auto"/>
        </w:rPr>
        <w:t>作人才队伍建设规划，并抓好年度计划实施。</w:t>
      </w:r>
    </w:p>
    <w:p>
      <w:pPr>
        <w:pageBreakBefore w:val="0"/>
        <w:kinsoku/>
        <w:wordWrap/>
        <w:overflowPunct/>
        <w:topLinePunct w:val="0"/>
        <w:bidi w:val="0"/>
        <w:spacing w:before="1" w:line="570" w:lineRule="exact"/>
        <w:ind w:left="706"/>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1"/>
          <w:sz w:val="32"/>
          <w:szCs w:val="32"/>
          <w:u w:val="none" w:color="auto"/>
        </w:rPr>
        <w:t>1</w:t>
      </w:r>
      <w:r>
        <w:rPr>
          <w:rFonts w:hint="eastAsia" w:ascii="仿宋_GB2312" w:hAnsi="仿宋_GB2312" w:eastAsia="仿宋_GB2312" w:cs="仿宋_GB2312"/>
          <w:spacing w:val="7"/>
          <w:sz w:val="32"/>
          <w:szCs w:val="32"/>
          <w:u w:val="none" w:color="auto"/>
        </w:rPr>
        <w:t>3、完成市委、市政府交办的其他任务。</w:t>
      </w:r>
    </w:p>
    <w:p>
      <w:pPr>
        <w:pageBreakBefore w:val="0"/>
        <w:kinsoku/>
        <w:wordWrap/>
        <w:overflowPunct/>
        <w:topLinePunct w:val="0"/>
        <w:bidi w:val="0"/>
        <w:spacing w:before="149" w:line="570" w:lineRule="exact"/>
        <w:ind w:left="19" w:firstLine="687"/>
        <w:rPr>
          <w:rFonts w:hint="eastAsia"/>
          <w:u w:val="none" w:color="auto"/>
        </w:rPr>
      </w:pPr>
      <w:r>
        <w:rPr>
          <w:rFonts w:hint="eastAsia" w:ascii="仿宋_GB2312" w:hAnsi="仿宋_GB2312" w:eastAsia="仿宋_GB2312" w:cs="仿宋_GB2312"/>
          <w:spacing w:val="7"/>
          <w:sz w:val="32"/>
          <w:szCs w:val="32"/>
          <w:u w:val="none" w:color="auto"/>
        </w:rPr>
        <w:t>14、职能转变。市民政局应聚焦脱贫攻坚、聚焦特殊</w:t>
      </w:r>
      <w:r>
        <w:rPr>
          <w:rFonts w:hint="eastAsia" w:ascii="仿宋_GB2312" w:hAnsi="仿宋_GB2312" w:eastAsia="仿宋_GB2312" w:cs="仿宋_GB2312"/>
          <w:spacing w:val="5"/>
          <w:sz w:val="32"/>
          <w:szCs w:val="32"/>
          <w:u w:val="none" w:color="auto"/>
        </w:rPr>
        <w:t>群</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
          <w:sz w:val="32"/>
          <w:szCs w:val="32"/>
          <w:u w:val="none" w:color="auto"/>
        </w:rPr>
        <w:t>体、聚焦群众关切，更好履行基本民生保障、基层社会治理</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8"/>
          <w:sz w:val="32"/>
          <w:szCs w:val="32"/>
          <w:u w:val="none" w:color="auto"/>
        </w:rPr>
        <w:t>基</w:t>
      </w:r>
      <w:r>
        <w:rPr>
          <w:rFonts w:hint="eastAsia" w:ascii="仿宋_GB2312" w:hAnsi="仿宋_GB2312" w:eastAsia="仿宋_GB2312" w:cs="仿宋_GB2312"/>
          <w:spacing w:val="15"/>
          <w:sz w:val="32"/>
          <w:szCs w:val="32"/>
          <w:u w:val="none" w:color="auto"/>
        </w:rPr>
        <w:t>本社会服务等职责,为困难群众、孤老孤残孤儿等特殊群</w:t>
      </w:r>
      <w:r>
        <w:rPr>
          <w:rFonts w:hint="eastAsia" w:ascii="仿宋_GB2312" w:hAnsi="仿宋_GB2312" w:eastAsia="仿宋_GB2312" w:cs="仿宋_GB2312"/>
          <w:spacing w:val="16"/>
          <w:sz w:val="32"/>
          <w:szCs w:val="32"/>
          <w:u w:val="none" w:color="auto"/>
        </w:rPr>
        <w:t>体</w:t>
      </w:r>
      <w:r>
        <w:rPr>
          <w:rFonts w:hint="eastAsia" w:ascii="仿宋_GB2312" w:hAnsi="仿宋_GB2312" w:eastAsia="仿宋_GB2312" w:cs="仿宋_GB2312"/>
          <w:spacing w:val="9"/>
          <w:sz w:val="32"/>
          <w:szCs w:val="32"/>
          <w:u w:val="none" w:color="auto"/>
        </w:rPr>
        <w:t>提供基本社会服务，促进资源向薄弱地区、领域和环节倾</w:t>
      </w:r>
      <w:r>
        <w:rPr>
          <w:rFonts w:hint="eastAsia" w:ascii="仿宋_GB2312" w:hAnsi="仿宋_GB2312" w:eastAsia="仿宋_GB2312" w:cs="仿宋_GB2312"/>
          <w:spacing w:val="13"/>
          <w:sz w:val="32"/>
          <w:szCs w:val="32"/>
          <w:u w:val="none" w:color="auto"/>
        </w:rPr>
        <w:t>斜</w:t>
      </w:r>
      <w:r>
        <w:rPr>
          <w:rFonts w:hint="eastAsia" w:ascii="仿宋_GB2312" w:hAnsi="仿宋_GB2312" w:eastAsia="仿宋_GB2312" w:cs="仿宋_GB2312"/>
          <w:spacing w:val="9"/>
          <w:sz w:val="32"/>
          <w:szCs w:val="32"/>
          <w:u w:val="none" w:color="auto"/>
        </w:rPr>
        <w:t>。积极培育社会组织、社会工作者等多元参与主体，推动搭建基层社会治理和社区公共服务平台。</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二、单位机构设置及预算单位构成情况</w:t>
      </w:r>
    </w:p>
    <w:p>
      <w:pPr>
        <w:pageBreakBefore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1．根据</w:t>
      </w:r>
      <w:r>
        <w:rPr>
          <w:rFonts w:hint="eastAsia" w:ascii="仿宋_GB2312" w:hAnsi="仿宋_GB2312" w:eastAsia="仿宋_GB2312" w:cs="仿宋_GB2312"/>
          <w:sz w:val="32"/>
          <w:szCs w:val="32"/>
          <w:u w:val="none" w:color="auto"/>
          <w:lang w:val="en-US" w:eastAsia="zh-CN"/>
        </w:rPr>
        <w:t>单位</w:t>
      </w:r>
      <w:r>
        <w:rPr>
          <w:rFonts w:hint="eastAsia" w:ascii="仿宋_GB2312" w:hAnsi="仿宋_GB2312" w:eastAsia="仿宋_GB2312" w:cs="仿宋_GB2312"/>
          <w:sz w:val="32"/>
          <w:szCs w:val="32"/>
          <w:u w:val="none" w:color="auto"/>
        </w:rPr>
        <w:t>职责分工，本</w:t>
      </w:r>
      <w:r>
        <w:rPr>
          <w:rFonts w:hint="eastAsia" w:ascii="仿宋_GB2312" w:hAnsi="仿宋_GB2312" w:eastAsia="仿宋_GB2312" w:cs="仿宋_GB2312"/>
          <w:sz w:val="32"/>
          <w:szCs w:val="32"/>
          <w:u w:val="none" w:color="auto"/>
          <w:lang w:val="en-US" w:eastAsia="zh-CN"/>
        </w:rPr>
        <w:t>单位</w:t>
      </w:r>
      <w:r>
        <w:rPr>
          <w:rFonts w:hint="eastAsia" w:ascii="仿宋_GB2312" w:hAnsi="仿宋_GB2312" w:eastAsia="仿宋_GB2312" w:cs="仿宋_GB2312"/>
          <w:sz w:val="32"/>
          <w:szCs w:val="32"/>
          <w:u w:val="none" w:color="auto"/>
        </w:rPr>
        <w:t>内设机构包括办公室(政策法规科)、人事科(精神文明建设办公室、离退休人员工作科)、规划财务科、包头市社会组织管理局（包头市社会组织执法监督局、行政审批科）、社会救助科、基层政权建设和社区治理科（包头市城乡社区建设领导小组办公室）、区划地名科、社会事务科、养老服务科、儿童福利科、慈善事业促进和社会工作科共11个科室，另设社会组织党建办公室、机关党委。本</w:t>
      </w:r>
      <w:r>
        <w:rPr>
          <w:rFonts w:hint="eastAsia" w:ascii="仿宋_GB2312" w:hAnsi="仿宋_GB2312" w:eastAsia="仿宋_GB2312" w:cs="仿宋_GB2312"/>
          <w:sz w:val="32"/>
          <w:szCs w:val="32"/>
          <w:u w:val="none" w:color="auto"/>
          <w:lang w:val="en-US" w:eastAsia="zh-CN"/>
        </w:rPr>
        <w:t>单位包头市民政局本级无</w:t>
      </w:r>
      <w:r>
        <w:rPr>
          <w:rFonts w:hint="eastAsia" w:ascii="仿宋_GB2312" w:hAnsi="仿宋_GB2312" w:eastAsia="仿宋_GB2312" w:cs="仿宋_GB2312"/>
          <w:sz w:val="32"/>
          <w:szCs w:val="32"/>
          <w:u w:val="none" w:color="auto"/>
        </w:rPr>
        <w:t>下属单位。</w:t>
      </w:r>
    </w:p>
    <w:p>
      <w:pPr>
        <w:pageBreakBefore w:val="0"/>
        <w:kinsoku/>
        <w:wordWrap/>
        <w:overflowPunct/>
        <w:topLinePunct w:val="0"/>
        <w:autoSpaceDE/>
        <w:autoSpaceDN/>
        <w:bidi w:val="0"/>
        <w:spacing w:line="570" w:lineRule="exact"/>
        <w:ind w:firstLine="640" w:firstLineChars="200"/>
        <w:textAlignment w:val="auto"/>
        <w:rPr>
          <w:rFonts w:eastAsia="仿宋_GB2312" w:cstheme="minorBidi"/>
          <w:sz w:val="32"/>
          <w:szCs w:val="32"/>
          <w:u w:val="none" w:color="auto"/>
        </w:rPr>
      </w:pPr>
      <w:r>
        <w:rPr>
          <w:rFonts w:hint="eastAsia" w:ascii="仿宋_GB2312" w:hAnsi="仿宋_GB2312" w:eastAsia="仿宋_GB2312" w:cs="仿宋_GB2312"/>
          <w:sz w:val="32"/>
          <w:szCs w:val="32"/>
          <w:u w:val="none" w:color="auto"/>
        </w:rPr>
        <w:t>2．从预算单位构成看，纳入本</w:t>
      </w:r>
      <w:r>
        <w:rPr>
          <w:rFonts w:hint="eastAsia" w:ascii="仿宋_GB2312" w:hAnsi="仿宋_GB2312" w:eastAsia="仿宋_GB2312" w:cs="仿宋_GB2312"/>
          <w:sz w:val="32"/>
          <w:szCs w:val="32"/>
          <w:u w:val="none" w:color="auto"/>
          <w:lang w:val="en-US" w:eastAsia="zh-CN"/>
        </w:rPr>
        <w:t>单位2024</w:t>
      </w:r>
      <w:r>
        <w:rPr>
          <w:rFonts w:hint="eastAsia" w:ascii="仿宋_GB2312" w:hAnsi="仿宋_GB2312" w:eastAsia="仿宋_GB2312" w:cs="仿宋_GB2312"/>
          <w:sz w:val="32"/>
          <w:szCs w:val="32"/>
          <w:u w:val="none" w:color="auto"/>
        </w:rPr>
        <w:t>年</w:t>
      </w:r>
      <w:r>
        <w:rPr>
          <w:rFonts w:hint="eastAsia" w:ascii="仿宋_GB2312" w:hAnsi="仿宋_GB2312" w:eastAsia="仿宋_GB2312" w:cs="仿宋_GB2312"/>
          <w:sz w:val="32"/>
          <w:szCs w:val="32"/>
          <w:u w:val="none" w:color="auto"/>
          <w:lang w:val="en-US" w:eastAsia="zh-CN"/>
        </w:rPr>
        <w:t>部门</w:t>
      </w:r>
      <w:r>
        <w:rPr>
          <w:rFonts w:hint="eastAsia" w:ascii="仿宋_GB2312" w:hAnsi="仿宋_GB2312" w:eastAsia="仿宋_GB2312" w:cs="仿宋_GB2312"/>
          <w:sz w:val="32"/>
          <w:szCs w:val="32"/>
          <w:u w:val="none" w:color="auto"/>
        </w:rPr>
        <w:t>汇总预算编制范围的预算单位共计</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家，具体包括：</w:t>
      </w:r>
      <w:r>
        <w:rPr>
          <w:rFonts w:hint="eastAsia" w:ascii="仿宋_GB2312" w:hAnsi="仿宋_GB2312" w:eastAsia="仿宋_GB2312" w:cs="仿宋_GB2312"/>
          <w:sz w:val="32"/>
          <w:szCs w:val="32"/>
          <w:u w:val="none" w:color="auto"/>
          <w:lang w:val="en-US" w:eastAsia="zh-CN"/>
        </w:rPr>
        <w:t>包头市民政局</w:t>
      </w:r>
      <w:r>
        <w:rPr>
          <w:rFonts w:hint="eastAsia" w:ascii="仿宋_GB2312" w:hAnsi="仿宋_GB2312" w:eastAsia="仿宋_GB2312" w:cs="仿宋_GB2312"/>
          <w:sz w:val="32"/>
          <w:szCs w:val="32"/>
          <w:u w:val="none" w:color="auto"/>
        </w:rPr>
        <w:t>。</w:t>
      </w:r>
    </w:p>
    <w:p>
      <w:pPr>
        <w:pageBreakBefore w:val="0"/>
        <w:tabs>
          <w:tab w:val="left" w:pos="3532"/>
        </w:tabs>
        <w:kinsoku/>
        <w:wordWrap/>
        <w:overflowPunct/>
        <w:topLinePunct w:val="0"/>
        <w:autoSpaceDE w:val="0"/>
        <w:autoSpaceDN w:val="0"/>
        <w:bidi w:val="0"/>
        <w:adjustRightInd w:val="0"/>
        <w:spacing w:line="570" w:lineRule="exact"/>
        <w:jc w:val="center"/>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b/>
          <w:bCs/>
          <w:sz w:val="32"/>
          <w:szCs w:val="32"/>
          <w:u w:val="none" w:color="auto"/>
        </w:rPr>
        <w:t>单位情况表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4420"/>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76" w:type="dxa"/>
            <w:vAlign w:val="bottom"/>
          </w:tcPr>
          <w:p>
            <w:pPr>
              <w:pStyle w:val="2"/>
              <w:pageBreakBefore w:val="0"/>
              <w:kinsoku/>
              <w:wordWrap/>
              <w:overflowPunct/>
              <w:topLinePunct w:val="0"/>
              <w:autoSpaceDE/>
              <w:autoSpaceDN/>
              <w:bidi w:val="0"/>
              <w:spacing w:line="570" w:lineRule="exact"/>
              <w:ind w:left="0" w:leftChars="0" w:firstLine="0"/>
              <w:jc w:val="center"/>
              <w:textAlignment w:val="auto"/>
              <w:rPr>
                <w:rFonts w:hint="default" w:ascii="仿宋_GB2312" w:eastAsia="仿宋_GB2312"/>
                <w:b/>
                <w:sz w:val="32"/>
                <w:szCs w:val="32"/>
                <w:u w:val="none" w:color="auto"/>
              </w:rPr>
            </w:pPr>
            <w:r>
              <w:rPr>
                <w:rFonts w:ascii="仿宋_GB2312" w:eastAsia="仿宋_GB2312"/>
                <w:b/>
                <w:sz w:val="32"/>
                <w:szCs w:val="32"/>
                <w:u w:val="none" w:color="auto"/>
              </w:rPr>
              <w:t>序号</w:t>
            </w:r>
          </w:p>
        </w:tc>
        <w:tc>
          <w:tcPr>
            <w:tcW w:w="4420" w:type="dxa"/>
            <w:vAlign w:val="bottom"/>
          </w:tcPr>
          <w:p>
            <w:pPr>
              <w:pStyle w:val="2"/>
              <w:pageBreakBefore w:val="0"/>
              <w:kinsoku/>
              <w:wordWrap/>
              <w:overflowPunct/>
              <w:topLinePunct w:val="0"/>
              <w:autoSpaceDE/>
              <w:autoSpaceDN/>
              <w:bidi w:val="0"/>
              <w:spacing w:line="570" w:lineRule="exact"/>
              <w:ind w:left="0" w:leftChars="0" w:firstLine="0"/>
              <w:jc w:val="center"/>
              <w:textAlignment w:val="auto"/>
              <w:rPr>
                <w:rFonts w:hint="default" w:ascii="仿宋_GB2312" w:eastAsia="仿宋_GB2312"/>
                <w:b/>
                <w:sz w:val="32"/>
                <w:szCs w:val="32"/>
                <w:u w:val="none" w:color="auto"/>
              </w:rPr>
            </w:pPr>
            <w:r>
              <w:rPr>
                <w:rFonts w:ascii="仿宋_GB2312" w:eastAsia="仿宋_GB2312"/>
                <w:b/>
                <w:sz w:val="32"/>
                <w:szCs w:val="32"/>
                <w:u w:val="none" w:color="auto"/>
              </w:rPr>
              <w:t>单位名称</w:t>
            </w:r>
          </w:p>
        </w:tc>
        <w:tc>
          <w:tcPr>
            <w:tcW w:w="3650" w:type="dxa"/>
            <w:vAlign w:val="bottom"/>
          </w:tcPr>
          <w:p>
            <w:pPr>
              <w:pStyle w:val="2"/>
              <w:pageBreakBefore w:val="0"/>
              <w:kinsoku/>
              <w:wordWrap/>
              <w:overflowPunct/>
              <w:topLinePunct w:val="0"/>
              <w:autoSpaceDE/>
              <w:autoSpaceDN/>
              <w:bidi w:val="0"/>
              <w:spacing w:line="570" w:lineRule="exact"/>
              <w:ind w:left="0" w:leftChars="0" w:firstLine="0"/>
              <w:jc w:val="center"/>
              <w:textAlignment w:val="auto"/>
              <w:rPr>
                <w:rFonts w:hint="default" w:ascii="仿宋_GB2312" w:eastAsia="仿宋_GB2312"/>
                <w:b/>
                <w:sz w:val="32"/>
                <w:szCs w:val="32"/>
                <w:u w:val="none" w:color="auto"/>
              </w:rPr>
            </w:pPr>
            <w:r>
              <w:rPr>
                <w:rFonts w:ascii="仿宋_GB2312" w:eastAsia="仿宋_GB2312"/>
                <w:b/>
                <w:sz w:val="32"/>
                <w:szCs w:val="32"/>
                <w:u w:val="none" w:color="auto"/>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pageBreakBefore w:val="0"/>
              <w:kinsoku/>
              <w:wordWrap/>
              <w:overflowPunct/>
              <w:topLinePunct w:val="0"/>
              <w:autoSpaceDE/>
              <w:autoSpaceDN/>
              <w:bidi w:val="0"/>
              <w:spacing w:line="57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w:t>
            </w:r>
          </w:p>
        </w:tc>
        <w:tc>
          <w:tcPr>
            <w:tcW w:w="4420" w:type="dxa"/>
          </w:tcPr>
          <w:p>
            <w:pPr>
              <w:pStyle w:val="2"/>
              <w:pageBreakBefore w:val="0"/>
              <w:kinsoku/>
              <w:wordWrap/>
              <w:overflowPunct/>
              <w:topLinePunct w:val="0"/>
              <w:autoSpaceDE/>
              <w:autoSpaceDN/>
              <w:bidi w:val="0"/>
              <w:spacing w:line="57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包头市民政局</w:t>
            </w:r>
          </w:p>
        </w:tc>
        <w:tc>
          <w:tcPr>
            <w:tcW w:w="3650" w:type="dxa"/>
          </w:tcPr>
          <w:p>
            <w:pPr>
              <w:pStyle w:val="2"/>
              <w:pageBreakBefore w:val="0"/>
              <w:kinsoku/>
              <w:wordWrap/>
              <w:overflowPunct/>
              <w:topLinePunct w:val="0"/>
              <w:autoSpaceDE/>
              <w:autoSpaceDN/>
              <w:bidi w:val="0"/>
              <w:spacing w:line="570" w:lineRule="exact"/>
              <w:ind w:left="0" w:leftChars="0" w:firstLine="0"/>
              <w:jc w:val="center"/>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行政单位</w:t>
            </w:r>
          </w:p>
        </w:tc>
      </w:tr>
    </w:tbl>
    <w:p>
      <w:pPr>
        <w:pageBreakBefore w:val="0"/>
        <w:kinsoku/>
        <w:wordWrap/>
        <w:overflowPunct/>
        <w:topLinePunct w:val="0"/>
        <w:bidi w:val="0"/>
        <w:spacing w:line="600" w:lineRule="exact"/>
        <w:ind w:firstLine="640" w:firstLineChars="200"/>
        <w:rPr>
          <w:rFonts w:hint="eastAsia" w:eastAsia="仿宋_GB2312" w:cstheme="minorBidi"/>
          <w:sz w:val="32"/>
          <w:szCs w:val="32"/>
          <w:highlight w:val="yellow"/>
          <w:u w:val="none" w:color="auto"/>
        </w:rPr>
      </w:pPr>
    </w:p>
    <w:p>
      <w:pPr>
        <w:pageBreakBefore w:val="0"/>
        <w:kinsoku/>
        <w:wordWrap/>
        <w:overflowPunct/>
        <w:topLinePunct w:val="0"/>
        <w:bidi w:val="0"/>
        <w:spacing w:line="600" w:lineRule="exact"/>
        <w:ind w:firstLine="640" w:firstLineChars="200"/>
        <w:rPr>
          <w:rFonts w:ascii="方正小标宋简体" w:hAnsi="方正小标宋简体" w:eastAsia="方正小标宋简体" w:cs="方正小标宋简体"/>
          <w:b w:val="0"/>
          <w:bCs w:val="0"/>
          <w:sz w:val="36"/>
          <w:szCs w:val="36"/>
          <w:u w:val="none" w:color="auto"/>
        </w:rPr>
      </w:pPr>
      <w:r>
        <w:rPr>
          <w:rFonts w:hint="eastAsia" w:eastAsia="黑体" w:cs="黑体"/>
          <w:b w:val="0"/>
          <w:bCs w:val="0"/>
          <w:sz w:val="32"/>
          <w:szCs w:val="36"/>
          <w:u w:val="none" w:color="auto"/>
        </w:rPr>
        <w:t>三、</w:t>
      </w:r>
      <w:r>
        <w:rPr>
          <w:rFonts w:hint="eastAsia" w:eastAsia="黑体" w:cs="黑体"/>
          <w:b w:val="0"/>
          <w:bCs w:val="0"/>
          <w:sz w:val="32"/>
          <w:szCs w:val="36"/>
          <w:u w:val="none" w:color="auto"/>
          <w:lang w:val="en-US" w:eastAsia="zh-CN"/>
        </w:rPr>
        <w:t>2024</w:t>
      </w:r>
      <w:r>
        <w:rPr>
          <w:rFonts w:hint="eastAsia" w:eastAsia="黑体" w:cs="黑体"/>
          <w:b w:val="0"/>
          <w:bCs w:val="0"/>
          <w:sz w:val="32"/>
          <w:szCs w:val="36"/>
          <w:u w:val="none" w:color="auto"/>
        </w:rPr>
        <w:t>年单位主要工作任务及目标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今年是新中国成立75周年，是实现“十四五”规划目标任务的关键一年，做好民政工作责任重大。全市民政系统要坚持以习近平新时代中国特色社会主义思想为指导，深入贯彻习近平总书记考察内蒙古重要讲话精神和关于民政工作的重要论述，认真贯彻落实</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《国务院关于推动内蒙古高质量发展奋力书写中国式现代化新篇章的意见》</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和民政部《支持内蒙古民政事业高质量发展具体措施》，全面落实自治区民政厅贯彻“一条主线”、锚定“一个目标”、服务“两件大事”、打造“五型民政”的工作部署，围</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绕市委、市政府实施民生事业提质各项工作要求，聚焦“提标提质、树立品牌”，深入开展“民政事业基础建设提升年”，</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重点实施“</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八</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大行动”，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用情用力办好一批“小切口、微幸福”的民生实事，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包头</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民政的为民热度、服务温度、保障精度，持续擦亮民生幸福底色</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（一）着力开展“学习型、服务型、创新型”机关创建</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坚持以习近平新时代中国特色社会主义思想为指导，认真贯彻习近平总书记对民政工作“聚焦脱贫攻坚，聚焦特殊群体，聚焦群众关切”的重要指示精神，以创建学习型、服务型、创新型机关建设为载体，着力提升民政干部职工队伍整体素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一是</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坚持以习近平新时代中国特色社会主义思想为指导，巩固深化民政系统干部能力素质提升专项活动成果，统筹线上+线下教育培训资源，常态化开展“民政讲坛”、“补课充电”等活动，强化实践锻炼，助力干部职工补齐素质短板，树牢“有解思维”，全面提高干部队伍业务水平、服务意识。二</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是</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通过加强学习扬优势、找差距、促发展，全面动态掌握各项工作底数、发展现状、在全国、全区的位次，深刻认识与民政厅、市委、市政府要求、与人民群众期待、与兄弟盟市、先进地区差距，分析问题短板和根源，找准工作切入点、发力点，聚焦实现晋位升级、争先创优目标，认真盘点分析，未达到“优秀”等次的问题在哪儿、如何加强改进，达到“优秀”等次的是否排在前列、如何巩固提升，拿出切实可行措施，坚定决心、抢抓机遇，全力培厚优势、补齐短板、推动发展。</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三是</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持续开展调查研究，深化运用“四下基层”工作制度，组织开展民政进城乡社区、进服务机构、进社会组织、进服务对象“四进”活动，深入一线问需于民、问计于民，着力解决民政民生领域群众急难愁盼问题，让人民群众的获得感、幸福感、安全感更加充分、更有保障、更可持续。</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四是</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推动党建和党风廉政建设呈现新面貌</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健全完善党建工作责任清单，做到责任内容具体、工作要求明确。深入挖掘“党建+”工作创新模式，常态化推进最强党支部建设、模范机关创建工作，不断激发党组织的战斗堡垒作用和党员的先锋模范作用，严格落实意识形态工作责任，进一步加强和改进网络意识形态工作，强化互联网思维。巩固“提效能抓落实立形象”成果，严</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格落实深化整治“三多三少三慢”问题二十条措施，切实纠治“慢粗虚”问题，强化“严真细实快”工作作风。建立干部季度述职制度，将干部述职评议与平时考核、年度考核相结合，激励干部担当作为，锤炼“踏实肯干、求真务实”优良作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（二）着力开展社会救助“三个提</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升”行动。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按照“兜底线、救急难、提效能”的总体思路，不断健全完善救</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助体系，拓展救助内容和方式，强化救助扩围增效，兜住兜准兜牢民生底线，实现社会救助“三个提升”。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一是提升兜底保障能力。</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保持我市城乡低保平均标准高于自治区平均水平，坚持尽力而为、量力而行，推进城乡统筹，落实动态调整和社会救助保障标准与物价上涨挂钩联动机制，加强低收入人口动态监测与防返贫监测机制衔接，坚决守住不发生规模性返贫底线。</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二是提升精准救助水平。</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认真落实自治区《关于加强低收入人口动态监测做好分层分类社会救助工作的具体措施》，按照《包头市低保边缘家庭认定办法》开展低保边缘家庭认定工作，强化部门联动，政策衔接、充分整合各类帮扶政策，深入推进基本生活救助、专项救助、急难救助制度系统集成、分层分类的大救助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发展多种形式的服务类救助，加强政府救助与慈善帮扶有效衔接，鼓励通过政府购买服务方式吸引社会力量参与，大力发展“党建+”、“社会组织+”、“慈善+”、“社区+”等多种救助服务模式。推进“一户一档一策”精准帮扶机制，提高困难群众主动发现、精准救助水平。</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三是提升救助服务品质。</w:t>
      </w:r>
      <w:r>
        <w:rPr>
          <w:rFonts w:hint="eastAsia" w:ascii="Times New Roman" w:hAnsi="Times New Roman" w:eastAsia="仿宋_GB2312" w:cs="Times New Roman"/>
          <w:b w:val="0"/>
          <w:bCs w:val="0"/>
          <w:color w:val="000000" w:themeColor="text1"/>
          <w:spacing w:val="0"/>
          <w:w w:val="100"/>
          <w:sz w:val="32"/>
          <w:szCs w:val="32"/>
          <w:u w:val="none" w:color="auto"/>
          <w:lang w:val="en-US" w:eastAsia="zh-CN"/>
          <w14:textFill>
            <w14:solidFill>
              <w14:schemeClr w14:val="tx1"/>
            </w14:solidFill>
          </w14:textFill>
        </w:rPr>
        <w:t>推行社会救助“一次办”，通过线上办、上门办、一城办、帮您办，更好地满足困难群众救助服务需求，完善“大数据+铁脚板”全方位救助帮扶机制，优化社会救助微服务平台功能，形成电子低保证一户一码，丰富惠民政策清单项目内容。按照自治区民政厅要求，适时启动“内蒙古救助通”，加快完善“低收入人口动态监测信息平台”，加强部门间数据共享，形成“线下+线上”走访排查、监测预警、综合帮扶的闭环，持续打造“一鹿（路）相伴 包你温暖”社会救助品牌。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（三）着力开展养老服务“提档升级</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u w:val="none" w:color="auto"/>
          <w:lang w:val="en-US" w:eastAsia="zh-CN"/>
          <w14:textFill>
            <w14:solidFill>
              <w14:schemeClr w14:val="tx1"/>
            </w14:solidFill>
          </w14:textFill>
        </w:rPr>
        <w:t>聚焦市委、市政府完善居家社区机构相协调，聚焦《政府工作报告》提出的实施居家社区养老服务提质、机构养老服务升级、农村牧区养老服务扩面、养老服务综合保障强基4项工程，持续健全完善机构社区居家相协调、医养康养相融合的养老服务体系，集中开展老龄事业开新局、居家社区扩围增效、养老机构固本强基、农村养老提档达标、养老服务质量提升、养老人才提升培育、养老产业提速发展等“七大项目”。</w:t>
      </w:r>
      <w:r>
        <w:rPr>
          <w:rFonts w:hint="eastAsia" w:ascii="仿宋_GB2312" w:hAnsi="仿宋_GB2312" w:eastAsia="仿宋_GB2312" w:cs="仿宋_GB2312"/>
          <w:b/>
          <w:bCs/>
          <w:color w:val="000000" w:themeColor="text1"/>
          <w:spacing w:val="0"/>
          <w:w w:val="100"/>
          <w:sz w:val="32"/>
          <w:szCs w:val="32"/>
          <w:highlight w:val="none"/>
          <w:u w:val="none" w:color="auto"/>
          <w:lang w:val="en-US" w:eastAsia="zh-CN"/>
          <w14:textFill>
            <w14:solidFill>
              <w14:schemeClr w14:val="tx1"/>
            </w14:solidFill>
          </w14:textFill>
        </w:rPr>
        <w:t>一是</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推动老龄事业开新局。</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本轮机构改革把老龄工作相关职责划入民政部门，是党中央着眼应对人口老龄化国家战略作出的重大决策，各旗县区民政部门要切实抓好过渡期的各项工作，特别是要积极创建全国示范性老年友好型社区和全国“敬老文明号”，持续营造敬老爱老的浓厚社会氛围。</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二是巩固</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居家社区养老服务扩围增效</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持续巩固提升城市“一刻钟”养老服务圈质效，在市级智慧养老服务平台的基础上，推进10个旗县区和街道、社区分平台联通链接，形成</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1+10+N</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智慧养老服务综合应用网络。</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进一步</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提高智慧养老服务平台及</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96111为老服务</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热线的</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知晓率和使用率</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，充分发挥</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民政</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、企业和老人间的桥梁纽带作用，</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利用各类媒体和社区网格加大宣传，营造平台和居民特别是老年人知晓互动的格局。</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提升城市居家社区养老服务机构运营质量，全面推进老年助餐服务网络运营，打造50个老年助餐服务示范点</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鼓励居家社区养老服务站点运营方运营社区嵌入式服务设施，为老年人提供方便可及的综合性服务，促进养老服务和其他便民服务融合推进</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；持续实施适老化改造工作，为符合条件的经济困难老年人及计划生育特殊家庭进行适老化改造500户，提升居家养老服务品质。</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三是推动</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养老机构固本强基</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highlight w:val="none"/>
          <w:u w:val="none" w:color="auto"/>
          <w:lang w:val="en-US" w:eastAsia="zh-CN"/>
          <w14:textFill>
            <w14:solidFill>
              <w14:schemeClr w14:val="tx1"/>
            </w14:solidFill>
          </w14:textFill>
        </w:rPr>
        <w:t>认真落实民政厅高品质养老机</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构培育要求，年内创建四级、五级养老机构8家，推动“兜底有保障、普惠可持续、高端有选择”的机构养老服务供给格局加快形成。新增认知护理型床位200张，为失能失智老年人提供照护服务。积极参与打造医疗高地，推动实现30%以上的养老机构配置医疗设施；探索实践养老机构“开放日”活动，为全市老年人提供更加优质的服务。对现有农村部分养老服务设施进行整合提升，促进农村养老服务设施发挥效益。</w:t>
      </w:r>
      <w:r>
        <w:rPr>
          <w:rFonts w:hint="eastAsia" w:ascii="仿宋_GB2312" w:hAnsi="仿宋_GB2312" w:eastAsia="仿宋_GB2312" w:cs="仿宋_GB2312"/>
          <w:b/>
          <w:bCs/>
          <w:color w:val="000000" w:themeColor="text1"/>
          <w:sz w:val="32"/>
          <w:szCs w:val="32"/>
          <w:u w:val="none" w:color="auto"/>
          <w:lang w:val="en-US" w:eastAsia="zh-CN"/>
          <w14:textFill>
            <w14:solidFill>
              <w14:schemeClr w14:val="tx1"/>
            </w14:solidFill>
          </w14:textFill>
        </w:rPr>
        <w:t>四是实现</w:t>
      </w:r>
      <w:r>
        <w:rPr>
          <w:rFonts w:hint="eastAsia" w:ascii="Times New Roman" w:hAnsi="Times New Roman" w:eastAsia="仿宋_GB2312" w:cs="Times New Roman"/>
          <w:b/>
          <w:bCs/>
          <w:color w:val="000000" w:themeColor="text1"/>
          <w:spacing w:val="0"/>
          <w:w w:val="100"/>
          <w:sz w:val="32"/>
          <w:szCs w:val="32"/>
          <w:u w:val="none" w:color="auto"/>
          <w:lang w:val="en-US" w:eastAsia="zh-CN"/>
          <w14:textFill>
            <w14:solidFill>
              <w14:schemeClr w14:val="tx1"/>
            </w14:solidFill>
          </w14:textFill>
        </w:rPr>
        <w:t>农村养老提档达标。</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持续完善覆盖市</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本级</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旗</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县</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、乡</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镇</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农村牧区</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四级养老服务体系，</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新建和提升改造农村牧区养老服务设施52个，</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农牧区养老</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服务设施</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覆盖率总体达90%。认真落实孙绍骋书记指示要求，</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达茂旗要</w:t>
      </w:r>
      <w:r>
        <w:rPr>
          <w:rFonts w:hint="default"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探索建立符合牧区实际的“固定+流动”养老服务模式，全面提升牧区养老服务水平</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五是推动养老服务质量提升。</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持续完善市级智慧养老平台服务能力，加大与助餐、助洁、助行、助浴、助急、助医及康复理疗等服务商的签约力度，后台加盟服务企业或社会组织达到1000家以上；推动康复辅具及适老化产品普及活动。开展康复辅具服务进社区、进机关、进企业、进商场、进旅游景点“五进”活动。2024年底，覆盖60%以上的街道养老服务中心。青山区要建成自治区级康复辅具暨适老化产品展示服务中心。</w:t>
      </w:r>
      <w:r>
        <w:rPr>
          <w:rFonts w:hint="eastAsia" w:ascii="仿宋_GB2312" w:hAnsi="仿宋_GB2312" w:eastAsia="仿宋_GB2312" w:cs="仿宋_GB2312"/>
          <w:b/>
          <w:bCs/>
          <w:color w:val="000000" w:themeColor="text1"/>
          <w:sz w:val="32"/>
          <w:szCs w:val="32"/>
          <w:highlight w:val="none"/>
          <w:u w:val="none" w:color="auto"/>
          <w:lang w:val="en-US" w:eastAsia="zh-CN"/>
          <w14:textFill>
            <w14:solidFill>
              <w14:schemeClr w14:val="tx1"/>
            </w14:solidFill>
          </w14:textFill>
        </w:rPr>
        <w:t>六是加快</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养老人才提升培育</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加强养老服务培训实习基地建设。加快建立校地、校企合作机制，开展养老论坛、毕业生双选洽谈等活动，吸纳大学生参与养老服务工作。发挥包头师范学院、医学院、职业技术学院等专业教学优势，加强养老服务人才培养培育工作。指导支持兴胜、惠德等5家养老机构实训就业基地运营，提升养老服务人员能力素质。开展选树典型活动，组织养老服务职业技能竞赛，组织推荐优秀护理员、优秀养老院院长评选活动。</w:t>
      </w:r>
      <w:r>
        <w:rPr>
          <w:rFonts w:hint="eastAsia" w:ascii="Times New Roman" w:hAnsi="Times New Roman" w:eastAsia="仿宋_GB2312" w:cs="Times New Roman"/>
          <w:b/>
          <w:bCs/>
          <w:color w:val="000000" w:themeColor="text1"/>
          <w:spacing w:val="0"/>
          <w:w w:val="100"/>
          <w:sz w:val="32"/>
          <w:szCs w:val="32"/>
          <w:highlight w:val="none"/>
          <w:u w:val="none" w:color="auto"/>
          <w:lang w:val="en-US" w:eastAsia="zh-CN"/>
          <w14:textFill>
            <w14:solidFill>
              <w14:schemeClr w14:val="tx1"/>
            </w14:solidFill>
          </w14:textFill>
        </w:rPr>
        <w:t>七是推动养老产业提速发展。</w:t>
      </w:r>
      <w:r>
        <w:rPr>
          <w:rFonts w:hint="eastAsia" w:ascii="Times New Roman" w:hAnsi="Times New Roman" w:eastAsia="仿宋_GB2312" w:cs="Times New Roman"/>
          <w:b w:val="0"/>
          <w:bCs w:val="0"/>
          <w:color w:val="000000" w:themeColor="text1"/>
          <w:spacing w:val="0"/>
          <w:w w:val="100"/>
          <w:sz w:val="32"/>
          <w:szCs w:val="32"/>
          <w:highlight w:val="none"/>
          <w:u w:val="none" w:color="auto"/>
          <w:lang w:val="en-US" w:eastAsia="zh-CN"/>
          <w14:textFill>
            <w14:solidFill>
              <w14:schemeClr w14:val="tx1"/>
            </w14:solidFill>
          </w14:textFill>
        </w:rPr>
        <w:t>市本级和十个旗县区各举办一次集中推荐活动，推动旅居康养融合发展。组织参加内蒙古第二届养老事业与养老产业协同发展论坛暨“京蒙协作”旅居养老推介会，支持2家以上养老机构在省际合作、旅居养老、人才交流等方面签约项目。指导达茂旗举办旅居康养推荐会，鼓励有条件的养老机构组织开展“候鸟式”“度假式”“互动式”异地养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（四）着力开展儿童福利“小鹿成长</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加强流动儿童摸排建档，开展事实无人抚养儿童信息比对工作，提升主动发现能力。</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一是</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对全市300名事实无人抚养儿童家庭监护情况进行评估，根据评估情况提供关爱帮扶服务。</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二是</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完成土右旗未保中心改建项目，旗县未保中心达到全覆盖。开展示范创建行动，市未保中心实施好“鹿力童心、呵护未来”困境儿童关爱服务项目，创建自治区未保救助机构高质量发展试点。积极推进市福利院创建自治区儿童福利机构高质量发展示范单位。</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三是</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开展流动儿童关爱保护、困境儿童心理健康关爱、留守儿童困境儿童关爱服务3个项目，打造我市“小鹿成长”困境儿童关爱服务品牌。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jc w:val="both"/>
        <w:textAlignment w:val="auto"/>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（五）着力开展社会组织服务“高质量发展”行动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坚持党建引领，通过“三个强化”，进一步优化社会组织结构布局，提升服务管理水平，努力把社会组织培育成为一支服务高质量发展的重要力量。</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一是坚持党建引领。</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把牢社会组织健康发展政治方向，将铸牢中华民族共同体意识作为社会组织思想政治建设重要内容，写入社会组织章程，贯穿监督管理全过程各方面。配合市委组织部持续推进社会组织“两个覆盖”党组织建设，组建10家社会组织党组织，推选2家党组织创评年度党建示范点和“六个好”党组织。</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二是强化培育扶持。</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开展“社会组织筑巢计划”，推进市级、旗县区级、各社工站点、社区公共服务设施协同发力的四级社会组织孵化阵地建设，推动孵化基地提质扩面、提档升级，培育出一批服务能力强、专业水平高、社会影响好的社会组织。推出“鹿城社会组织培优工程”，培育20个枢纽型社会组织，20个品牌服务项目，选树20个先进集体和20名先进个人。</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三是强化监督管理。</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深入开展社会组织“双随机、一公开”执法检查、“僵尸型”社会组织清理整治，协同市行政审批局、业务主管、行业指导部门建立社会组织综合监管机制。充分发挥社会组织局际联席会议制度作用，常态开展“部门走访、社会组织恳谈、重点领域座谈”，推动职能部门协同发力，为社会组织发展创造良好环境。</w:t>
      </w:r>
      <w:r>
        <w:rPr>
          <w:rFonts w:hint="eastAsia" w:ascii="仿宋_GB2312" w:hAnsi="仿宋_GB2312" w:eastAsia="仿宋_GB2312" w:cs="仿宋_GB2312"/>
          <w:b/>
          <w:bCs/>
          <w:color w:val="000000" w:themeColor="text1"/>
          <w:spacing w:val="0"/>
          <w:w w:val="100"/>
          <w:sz w:val="32"/>
          <w:szCs w:val="32"/>
          <w:u w:val="none" w:color="auto"/>
          <w:lang w:val="en-US" w:eastAsia="zh-CN"/>
          <w14:textFill>
            <w14:solidFill>
              <w14:schemeClr w14:val="tx1"/>
            </w14:solidFill>
          </w14:textFill>
        </w:rPr>
        <w:t>四是强化作用发挥。</w:t>
      </w:r>
      <w:r>
        <w:rPr>
          <w:rFonts w:hint="eastAsia" w:ascii="仿宋_GB2312" w:hAnsi="仿宋_GB2312" w:eastAsia="仿宋_GB2312" w:cs="仿宋_GB2312"/>
          <w:color w:val="000000" w:themeColor="text1"/>
          <w:spacing w:val="0"/>
          <w:w w:val="100"/>
          <w:sz w:val="32"/>
          <w:szCs w:val="32"/>
          <w:u w:val="none" w:color="auto"/>
          <w:lang w:val="en-US" w:eastAsia="zh-CN"/>
          <w14:textFill>
            <w14:solidFill>
              <w14:schemeClr w14:val="tx1"/>
            </w14:solidFill>
          </w14:textFill>
        </w:rPr>
        <w:t>鼓励支持龙头企业、行业领军人物主导组建服务我市“两个稀土基地”和“世界绿色硅都”建设。开展“行业协会+”、“社会组织公益+”活动，推动至少5家资源富集行业协会与公益慈善社会组织对口帮扶，促进社会组织各领域融合发展。联动社会资源，按领域确定重点推进项目，促进社会组织在服务高质量发展中更好发挥作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jc w:val="both"/>
        <w:textAlignment w:val="auto"/>
        <w:rPr>
          <w:rFonts w:hint="default"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（六）着力开展专项</w:t>
      </w:r>
      <w:r>
        <w:rPr>
          <w:rFonts w:hint="default"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社会事务“</w:t>
      </w: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优化提升</w:t>
      </w:r>
      <w:r>
        <w:rPr>
          <w:rFonts w:hint="default"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p>
    <w:p>
      <w:pPr>
        <w:pStyle w:val="10"/>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hint="eastAsia" w:ascii="Times New Roman" w:hAnsi="Times New Roman" w:eastAsia="仿宋_GB2312" w:cs="Times New Roman"/>
          <w:b w:val="0"/>
          <w:bCs w:val="0"/>
          <w:color w:val="auto"/>
          <w:kern w:val="2"/>
          <w:sz w:val="32"/>
          <w:szCs w:val="32"/>
          <w:u w:val="none" w:color="auto"/>
          <w:lang w:val="en-US" w:eastAsia="zh-CN" w:bidi="ar-SA"/>
        </w:rPr>
      </w:pPr>
      <w:r>
        <w:rPr>
          <w:rFonts w:hint="eastAsia" w:ascii="Times New Roman" w:hAnsi="Times New Roman" w:eastAsia="仿宋_GB2312" w:cs="Times New Roman"/>
          <w:b/>
          <w:bCs/>
          <w:color w:val="auto"/>
          <w:kern w:val="2"/>
          <w:sz w:val="32"/>
          <w:szCs w:val="32"/>
          <w:u w:val="none" w:color="auto"/>
          <w:lang w:val="en-US" w:eastAsia="zh-CN" w:bidi="ar-SA"/>
        </w:rPr>
        <w:t>一是不断深化殡葬改革，树立文明新风。</w:t>
      </w:r>
      <w:r>
        <w:rPr>
          <w:rFonts w:hint="eastAsia" w:ascii="Times New Roman" w:hAnsi="Times New Roman" w:eastAsia="仿宋_GB2312" w:cs="Times New Roman"/>
          <w:b w:val="0"/>
          <w:bCs w:val="0"/>
          <w:color w:val="auto"/>
          <w:kern w:val="2"/>
          <w:sz w:val="32"/>
          <w:szCs w:val="32"/>
          <w:u w:val="none" w:color="auto"/>
          <w:lang w:val="en-US" w:eastAsia="zh-CN" w:bidi="ar-SA"/>
        </w:rPr>
        <w:t>开展旗县区殡葬设施“空白点”清零行动，固阳县要加快殡仪馆建设进度，年底前完成主体工程。落实自治区城乡公益性安葬（放）设施建设指导意见，推进达茂旗、固阳县农村公益性公墓建设，达茂旗公益性公墓年内建成，具备使用条件。持续开展历史集中埋葬点和“三沿七区”违建墓地规范整治工作。大力推广节地生态安葬，年内新建节地生态安葬墓1000穴，引导群众自觉树立绿色文明殡葬新风。</w:t>
      </w:r>
      <w:r>
        <w:rPr>
          <w:rFonts w:hint="eastAsia" w:ascii="Times New Roman" w:hAnsi="Times New Roman" w:eastAsia="仿宋_GB2312" w:cs="Times New Roman"/>
          <w:b/>
          <w:bCs/>
          <w:color w:val="auto"/>
          <w:kern w:val="2"/>
          <w:sz w:val="32"/>
          <w:szCs w:val="32"/>
          <w:u w:val="none" w:color="auto"/>
          <w:lang w:val="en-US" w:eastAsia="zh-CN" w:bidi="ar-SA"/>
        </w:rPr>
        <w:t>二是巩固拓展婚俗改革，倡导移风易俗。</w:t>
      </w:r>
      <w:r>
        <w:rPr>
          <w:rFonts w:hint="eastAsia" w:ascii="Times New Roman" w:hAnsi="Times New Roman" w:eastAsia="仿宋_GB2312" w:cs="Times New Roman"/>
          <w:b w:val="0"/>
          <w:bCs w:val="0"/>
          <w:color w:val="auto"/>
          <w:kern w:val="2"/>
          <w:sz w:val="32"/>
          <w:szCs w:val="32"/>
          <w:u w:val="none" w:color="auto"/>
          <w:lang w:val="en-US" w:eastAsia="zh-CN" w:bidi="ar-SA"/>
        </w:rPr>
        <w:t>青山区要在全面完成全国第一批婚俗改革实验区试点任务的基础上总结经验，以打造国家西部地区最强婚姻文化品牌为目标，聚焦婚姻领域改革与服务、文化与产业协同发展，使“两园一会”（青山区婚姻文化创意产业园、东达山民俗婚俗文化风情园、婚姻全产业婚博会）成为婚俗改革创新品牌。其他旗县区要学习借鉴青山区婚俗改革经验，在婚姻登记机关建设上有突破，都要开展婚姻家庭辅导、结婚颁证服务，打造婚俗改革文化阵地。昆区等有条件的地区要积极打造公园式、广场式婚姻登记机关，鼓励各地区通过政府购买服务等方式引入婚姻家庭辅导师、心理咨询师等社会工作专业力量，多元化、常态化开展婚姻家庭辅导服务。各地要通过举办集体婚礼、青年交友联谊、婚博会等婚姻文化活动，引导群众喜事新办、婚事简办。在农村牧区，要发挥基层自治组织作用，摈弃陈规陋习，传承良好家风家教，营造健康向上的良好社会风尚。各地要结合当地文化基础、产业特色、旅游资源等，探索婚俗改革+产业发展新模式。</w:t>
      </w:r>
      <w:r>
        <w:rPr>
          <w:rFonts w:hint="eastAsia" w:ascii="Times New Roman" w:hAnsi="Times New Roman" w:eastAsia="仿宋_GB2312" w:cs="Times New Roman"/>
          <w:b/>
          <w:bCs/>
          <w:color w:val="auto"/>
          <w:kern w:val="2"/>
          <w:sz w:val="32"/>
          <w:szCs w:val="32"/>
          <w:u w:val="none" w:color="auto"/>
          <w:lang w:val="en-US" w:eastAsia="zh-CN" w:bidi="ar-SA"/>
        </w:rPr>
        <w:t>三是强化残疾人福利保障。</w:t>
      </w:r>
      <w:r>
        <w:rPr>
          <w:rFonts w:hint="eastAsia" w:ascii="Times New Roman" w:hAnsi="Times New Roman" w:eastAsia="仿宋_GB2312" w:cs="Times New Roman"/>
          <w:b w:val="0"/>
          <w:bCs w:val="0"/>
          <w:color w:val="auto"/>
          <w:kern w:val="2"/>
          <w:sz w:val="32"/>
          <w:szCs w:val="32"/>
          <w:u w:val="none" w:color="auto"/>
          <w:lang w:val="en-US" w:eastAsia="zh-CN" w:bidi="ar-SA"/>
        </w:rPr>
        <w:t>加强残疾人“两项补贴”精准化管理。落实精神卫生福利机构管理办法，推动精神卫生福利院与专业精神卫生机构合作，开展精神康复工作。深入开展“精康融合行动”，积极开展精神障碍社区康复服务，东河区、九原区、白云矿区、达茂旗要重点推进精神障碍社区康复工作。持续开展“助康工程”项目排查，为全市符合条件且有辅具需求的残疾人配制辅助器具，开展手术矫治。</w:t>
      </w:r>
      <w:r>
        <w:rPr>
          <w:rFonts w:hint="eastAsia" w:ascii="Times New Roman" w:hAnsi="Times New Roman" w:eastAsia="仿宋_GB2312" w:cs="Times New Roman"/>
          <w:b/>
          <w:bCs/>
          <w:color w:val="auto"/>
          <w:kern w:val="2"/>
          <w:sz w:val="32"/>
          <w:szCs w:val="32"/>
          <w:u w:val="none" w:color="auto"/>
          <w:lang w:val="en-US" w:eastAsia="zh-CN" w:bidi="ar-SA"/>
        </w:rPr>
        <w:t>四是提升流浪乞讨救助管理水平。</w:t>
      </w:r>
      <w:r>
        <w:rPr>
          <w:rFonts w:hint="eastAsia" w:ascii="Times New Roman" w:hAnsi="Times New Roman" w:eastAsia="仿宋_GB2312" w:cs="Times New Roman"/>
          <w:b w:val="0"/>
          <w:bCs w:val="0"/>
          <w:color w:val="auto"/>
          <w:kern w:val="2"/>
          <w:sz w:val="32"/>
          <w:szCs w:val="32"/>
          <w:u w:val="none" w:color="auto"/>
          <w:lang w:val="en-US" w:eastAsia="zh-CN" w:bidi="ar-SA"/>
        </w:rPr>
        <w:t>认真落实《生活无着的流浪乞讨人员救助管理机构工作规程》，着力推进主动救助、站内照料、站外托养、疾病救治、护送寻亲、安置回访等工作。各旗县区要优先选择公办救助托养机构和医疗合作机构，审慎与民办机构合作，规范合同服务内容，加强监管，规范使用救助资金。积极开展区域中心救助工作，打造以市救助站为中心的区域中心救助体系，优化资源配置，提升救助服务水平。</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（七）着力开展福彩慈善“与爱同行”</w:t>
      </w:r>
      <w:r>
        <w:rPr>
          <w:rFonts w:hint="eastAsia" w:ascii="楷体_GB2312" w:hAnsi="楷体_GB2312" w:eastAsia="楷体_GB2312" w:cs="楷体_GB2312"/>
          <w:color w:val="000000" w:themeColor="text1"/>
          <w:spacing w:val="0"/>
          <w:w w:val="100"/>
          <w:sz w:val="32"/>
          <w:szCs w:val="32"/>
          <w:highlight w:val="none"/>
          <w:u w:val="none" w:color="auto"/>
          <w:lang w:val="en-US" w:eastAsia="zh-CN"/>
          <w14:textFill>
            <w14:solidFill>
              <w14:schemeClr w14:val="tx1"/>
            </w14:solidFill>
          </w14:textFill>
        </w:rPr>
        <w:t>行动</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cs="仿宋"/>
          <w:b/>
          <w:bCs/>
          <w:color w:val="000000" w:themeColor="text1"/>
          <w:spacing w:val="0"/>
          <w:w w:val="100"/>
          <w:sz w:val="32"/>
          <w:szCs w:val="32"/>
          <w:u w:val="none" w:color="auto"/>
          <w:lang w:val="en-US" w:eastAsia="zh-CN"/>
          <w14:textFill>
            <w14:solidFill>
              <w14:schemeClr w14:val="tx1"/>
            </w14:solidFill>
          </w14:textFill>
        </w:rPr>
        <w:t>一是</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激发福利彩票市场主体活力，积极探索跨行业及兼营发展模式，计划在商业中心建设10个品牌形象旗舰店、100家福利彩票销售示范店，确保完成福利彩票销售额增长20%的目标要求。切实发挥福彩公益金最大的社会效益，真正体现取之于民，用之于民的公益责任和使命。</w:t>
      </w:r>
      <w:r>
        <w:rPr>
          <w:rFonts w:hint="eastAsia" w:cs="仿宋"/>
          <w:b/>
          <w:bCs/>
          <w:color w:val="000000" w:themeColor="text1"/>
          <w:spacing w:val="0"/>
          <w:w w:val="100"/>
          <w:sz w:val="32"/>
          <w:szCs w:val="32"/>
          <w:u w:val="none" w:color="auto"/>
          <w:lang w:val="en-US" w:eastAsia="zh-CN"/>
          <w14:textFill>
            <w14:solidFill>
              <w14:schemeClr w14:val="tx1"/>
            </w14:solidFill>
          </w14:textFill>
        </w:rPr>
        <w:t>二是</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健全公益慈善事业发展体系。推进法治慈善建设，广泛开展《慈善法》宣传活动，引导和鼓励爱心民营企业和人士投身慈善事业，营造社会公众广泛参与慈善事业的良好氛围。推进“阳光慈善”，年内对全市慈善组织开展全覆盖检查，全面加强慈善组织和慈善活动监管。推进“慈善+”融合发展，聚焦“老小残困”等特殊群体帮扶需求，开展3个慈善救助项目。</w:t>
      </w:r>
      <w:r>
        <w:rPr>
          <w:rFonts w:hint="eastAsia" w:ascii="Times New Roman" w:hAnsi="Times New Roman" w:eastAsia="仿宋_GB2312" w:cs="Times New Roman"/>
          <w:b/>
          <w:bCs/>
          <w:color w:val="000000" w:themeColor="text1"/>
          <w:kern w:val="2"/>
          <w:sz w:val="32"/>
          <w:szCs w:val="32"/>
          <w:highlight w:val="none"/>
          <w:u w:val="none" w:color="auto"/>
          <w:lang w:val="en-US" w:eastAsia="zh-CN" w:bidi="ar-SA"/>
          <w14:textFill>
            <w14:solidFill>
              <w14:schemeClr w14:val="tx1"/>
            </w14:solidFill>
          </w14:textFill>
        </w:rPr>
        <w:t>三是</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拓展社会工作站功能。整合各类组织机构和多种社区资源，增强社会工作专业服务的内生动力。推进社会工作服务项目专业化水平，引导发挥“五社联动”机制主体合力，着力将“五社联动”服务有效嵌入养老服务体系、未成年人保护关爱行动，不断提升服务精细化、专业化水平。</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sz w:val="32"/>
          <w:szCs w:val="32"/>
          <w:u w:val="none" w:color="auto"/>
          <w:lang w:val="en-US" w:eastAsia="zh-CN"/>
          <w14:textFill>
            <w14:solidFill>
              <w14:schemeClr w14:val="tx1"/>
            </w14:solidFill>
          </w14:textFill>
        </w:rPr>
        <w:t>（八）着力开展区划地名“文化赋能”行动</w:t>
      </w:r>
    </w:p>
    <w:p>
      <w:pPr>
        <w:pStyle w:val="10"/>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统筹推进地名文化传承与城市更新，</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将地名文化融入黄河景区、秦长城国家文化公园打造，做好地名历史文化遗产保护名录申报</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工作</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，以“走进行政区划</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弘扬历史文化”等为主题加强地名文化宣传。</w:t>
      </w:r>
      <w:r>
        <w:rPr>
          <w:rFonts w:hint="eastAsia"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加强与相关职能部门的合作共建，</w:t>
      </w:r>
      <w:r>
        <w:rPr>
          <w:rFonts w:hint="default" w:ascii="Times New Roman" w:hAnsi="Times New Roman" w:eastAsia="仿宋_GB2312" w:cs="Times New Roman"/>
          <w:b w:val="0"/>
          <w:bCs w:val="0"/>
          <w:color w:val="000000" w:themeColor="text1"/>
          <w:kern w:val="2"/>
          <w:sz w:val="32"/>
          <w:szCs w:val="32"/>
          <w:highlight w:val="none"/>
          <w:u w:val="none" w:color="auto"/>
          <w:lang w:val="en-US" w:eastAsia="zh-CN" w:bidi="ar-SA"/>
          <w14:textFill>
            <w14:solidFill>
              <w14:schemeClr w14:val="tx1"/>
            </w14:solidFill>
          </w14:textFill>
        </w:rPr>
        <w:t>牵头建立22个成员单位组成的全市区划地名管理部门联席工作制度，进一步健全地名管理制度规范。深化平安边界建设，完成包巴线、包乌线等第七轮行政区域界线联检工作。发挥地名专家“智库”作用，组织研究储备一批道路名称，变“建成后申请”为“建设前规划”。加强地名标准化管理，巩固地名领域专项治理、不规范地名整治工作成果。在九原区、土右旗开展“乡村著名行动”，助力乡村振兴。</w:t>
      </w: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color="auto"/>
        </w:r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第二部分</w:t>
      </w:r>
      <w:r>
        <w:rPr>
          <w:rFonts w:hint="eastAsia" w:ascii="方正小标宋简体" w:hAnsi="方正小标宋简体" w:eastAsia="方正小标宋简体" w:cs="方正小标宋简体"/>
          <w:b w:val="0"/>
          <w:bCs w:val="0"/>
          <w:sz w:val="36"/>
          <w:szCs w:val="36"/>
          <w:u w:val="none" w:color="auto"/>
          <w:lang w:val="en-US" w:eastAsia="zh-CN"/>
        </w:rPr>
        <w:t>2024</w:t>
      </w:r>
      <w:r>
        <w:rPr>
          <w:rFonts w:hint="eastAsia" w:ascii="方正小标宋简体" w:hAnsi="方正小标宋简体" w:eastAsia="方正小标宋简体" w:cs="方正小标宋简体"/>
          <w:b w:val="0"/>
          <w:bCs w:val="0"/>
          <w:sz w:val="36"/>
          <w:szCs w:val="36"/>
          <w:u w:val="none" w:color="auto"/>
        </w:rPr>
        <w:t>年度单位预算情况说明</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color="auto"/>
        </w:rPr>
      </w:pP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一、收支预算总体情况说明</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包头市民政局</w:t>
      </w:r>
      <w:r>
        <w:rPr>
          <w:rFonts w:hint="eastAsia" w:ascii="仿宋_GB2312" w:hAnsi="仿宋_GB2312" w:eastAsia="仿宋_GB2312" w:cs="仿宋_GB2312"/>
          <w:sz w:val="32"/>
          <w:szCs w:val="32"/>
          <w:u w:val="none" w:color="auto"/>
        </w:rPr>
        <w:t>单位</w:t>
      </w:r>
      <w:r>
        <w:rPr>
          <w:rFonts w:hint="eastAsia" w:ascii="仿宋_GB2312" w:hAnsi="仿宋_GB2312" w:eastAsia="仿宋_GB2312" w:cs="仿宋_GB2312"/>
          <w:sz w:val="32"/>
          <w:szCs w:val="32"/>
          <w:u w:val="none" w:color="auto"/>
          <w:lang w:val="en-US" w:eastAsia="zh-CN"/>
        </w:rPr>
        <w:t>2024</w:t>
      </w:r>
      <w:r>
        <w:rPr>
          <w:rFonts w:hint="eastAsia" w:ascii="仿宋_GB2312" w:hAnsi="仿宋_GB2312" w:eastAsia="仿宋_GB2312" w:cs="仿宋_GB2312"/>
          <w:sz w:val="32"/>
          <w:szCs w:val="32"/>
          <w:u w:val="none" w:color="auto"/>
        </w:rPr>
        <w:t>年度收入、支出预算总计</w:t>
      </w:r>
      <w:r>
        <w:rPr>
          <w:rFonts w:hint="eastAsia" w:ascii="仿宋_GB2312" w:hAnsi="仿宋_GB2312" w:eastAsia="仿宋_GB2312" w:cs="仿宋_GB2312"/>
          <w:sz w:val="32"/>
          <w:szCs w:val="32"/>
          <w:u w:val="none" w:color="auto"/>
          <w:lang w:val="en-US" w:eastAsia="zh-CN"/>
        </w:rPr>
        <w:t>4281.48</w:t>
      </w:r>
      <w:r>
        <w:rPr>
          <w:rFonts w:hint="eastAsia" w:ascii="仿宋_GB2312" w:hAnsi="仿宋_GB2312" w:eastAsia="仿宋_GB2312" w:cs="仿宋_GB2312"/>
          <w:sz w:val="32"/>
          <w:szCs w:val="32"/>
          <w:u w:val="none" w:color="auto"/>
        </w:rPr>
        <w:t>万元，与上年相比收、支预算总计各增加</w:t>
      </w:r>
      <w:r>
        <w:rPr>
          <w:rFonts w:hint="eastAsia" w:ascii="仿宋_GB2312" w:hAnsi="仿宋_GB2312" w:eastAsia="仿宋_GB2312" w:cs="仿宋_GB2312"/>
          <w:sz w:val="32"/>
          <w:szCs w:val="32"/>
          <w:u w:val="none" w:color="auto"/>
          <w:lang w:val="en-US" w:eastAsia="zh-CN"/>
        </w:rPr>
        <w:t>1255.53</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41.50</w:t>
      </w:r>
      <w:r>
        <w:rPr>
          <w:rFonts w:hint="eastAsia" w:ascii="仿宋_GB2312" w:hAnsi="仿宋_GB2312" w:eastAsia="仿宋_GB2312" w:cs="仿宋_GB2312"/>
          <w:sz w:val="32"/>
          <w:szCs w:val="32"/>
          <w:u w:val="none" w:color="auto"/>
        </w:rPr>
        <w:t>%。其中：</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color="auto"/>
        </w:rPr>
      </w:pPr>
      <w:r>
        <w:rPr>
          <w:rFonts w:hint="eastAsia" w:ascii="楷体" w:hAnsi="楷体" w:eastAsia="楷体" w:cs="楷体"/>
          <w:b/>
          <w:bCs/>
          <w:sz w:val="32"/>
          <w:szCs w:val="32"/>
          <w:u w:val="none" w:color="auto"/>
        </w:rPr>
        <w:t>（一）收入预算总计</w:t>
      </w:r>
      <w:r>
        <w:rPr>
          <w:rFonts w:hint="eastAsia" w:ascii="仿宋" w:hAnsi="仿宋" w:eastAsia="仿宋" w:cs="仿宋"/>
          <w:sz w:val="32"/>
          <w:szCs w:val="32"/>
          <w:u w:val="none" w:color="auto"/>
          <w:lang w:val="en-US" w:eastAsia="zh-CN"/>
        </w:rPr>
        <w:t>4281.48</w:t>
      </w:r>
      <w:r>
        <w:rPr>
          <w:rFonts w:hint="eastAsia" w:ascii="楷体" w:hAnsi="楷体" w:eastAsia="楷体" w:cs="楷体"/>
          <w:b/>
          <w:bCs/>
          <w:sz w:val="32"/>
          <w:szCs w:val="32"/>
          <w:u w:val="none" w:color="auto"/>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1．本年收入合计</w:t>
      </w:r>
      <w:r>
        <w:rPr>
          <w:rFonts w:hint="eastAsia" w:eastAsia="仿宋_GB2312" w:cs="Times New Roman"/>
          <w:sz w:val="32"/>
          <w:szCs w:val="32"/>
          <w:u w:val="none" w:color="auto"/>
          <w:lang w:val="en-US" w:eastAsia="zh-CN"/>
        </w:rPr>
        <w:t>3505.3</w:t>
      </w:r>
      <w:r>
        <w:rPr>
          <w:rFonts w:hint="default" w:ascii="Times New Roman" w:hAnsi="Times New Roman" w:eastAsia="仿宋_GB2312" w:cs="Times New Roman"/>
          <w:sz w:val="32"/>
          <w:szCs w:val="32"/>
          <w:u w:val="none" w:color="auto"/>
        </w:rPr>
        <w:t>万元。</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（1）一般公共预算拨款收入</w:t>
      </w:r>
      <w:r>
        <w:rPr>
          <w:rFonts w:hint="eastAsia" w:eastAsia="仿宋_GB2312" w:cs="Times New Roman"/>
          <w:sz w:val="32"/>
          <w:szCs w:val="32"/>
          <w:u w:val="none" w:color="auto"/>
          <w:lang w:val="en-US" w:eastAsia="zh-CN"/>
        </w:rPr>
        <w:t>3357.02</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1131.07</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50.81</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项目收入增多</w:t>
      </w:r>
      <w:r>
        <w:rPr>
          <w:rFonts w:hint="default" w:ascii="Times New Roman" w:hAnsi="Times New Roman" w:eastAsia="仿宋_GB2312" w:cs="Times New Roman"/>
          <w:sz w:val="32"/>
          <w:szCs w:val="32"/>
          <w:u w:val="none" w:color="auto"/>
        </w:rPr>
        <w:t>。</w:t>
      </w:r>
    </w:p>
    <w:p>
      <w:pPr>
        <w:pStyle w:val="10"/>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（2）政府性基金预算拨款收入</w:t>
      </w:r>
      <w:r>
        <w:rPr>
          <w:rFonts w:hint="eastAsia" w:eastAsia="仿宋_GB2312" w:cs="Times New Roman"/>
          <w:sz w:val="32"/>
          <w:szCs w:val="32"/>
          <w:u w:val="none" w:color="auto"/>
          <w:lang w:val="en-US" w:eastAsia="zh-CN"/>
        </w:rPr>
        <w:t>148.28</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148.28</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100</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上级下拨的老年人意外伤害险资金</w:t>
      </w:r>
      <w:r>
        <w:rPr>
          <w:rFonts w:hint="default" w:ascii="Times New Roman" w:hAnsi="Times New Roman" w:eastAsia="仿宋_GB2312" w:cs="Times New Roman"/>
          <w:sz w:val="32"/>
          <w:szCs w:val="32"/>
          <w:u w:val="none" w:color="auto"/>
        </w:rPr>
        <w:t>。</w:t>
      </w:r>
    </w:p>
    <w:p>
      <w:pPr>
        <w:pStyle w:val="10"/>
        <w:pageBreakBefore w:val="0"/>
        <w:tabs>
          <w:tab w:val="left" w:pos="1389"/>
          <w:tab w:val="left" w:pos="4911"/>
          <w:tab w:val="left" w:pos="6205"/>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（3）国有资本经营预算拨款收入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 xml:space="preserve"> 0</w:t>
      </w:r>
      <w:r>
        <w:rPr>
          <w:rFonts w:hint="eastAsia" w:ascii="仿宋_GB2312" w:hAnsi="仿宋_GB2312" w:eastAsia="仿宋_GB2312" w:cs="仿宋_GB2312"/>
          <w:sz w:val="32"/>
          <w:szCs w:val="32"/>
          <w:u w:val="none" w:color="auto"/>
        </w:rPr>
        <w:t xml:space="preserve"> 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1389"/>
          <w:tab w:val="left" w:pos="4911"/>
          <w:tab w:val="left" w:pos="5898"/>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（4）财政专户管理资金收入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3310"/>
          <w:tab w:val="left" w:pos="3807"/>
          <w:tab w:val="left" w:pos="9433"/>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（5）事业收入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w:t>
      </w:r>
      <w:r>
        <w:rPr>
          <w:rFonts w:hint="eastAsia" w:ascii="仿宋_GB2312" w:hAnsi="仿宋_GB2312" w:eastAsia="仿宋_GB2312" w:cs="仿宋_GB2312"/>
          <w:sz w:val="32"/>
          <w:szCs w:val="32"/>
          <w:u w:val="none" w:color="auto"/>
          <w:lang w:val="en-US" w:eastAsia="zh-CN"/>
        </w:rPr>
        <w:t>长0</w:t>
      </w:r>
      <w:r>
        <w:rPr>
          <w:rFonts w:hint="eastAsia" w:ascii="仿宋_GB2312" w:hAnsi="仿宋_GB2312" w:eastAsia="仿宋_GB2312" w:cs="仿宋_GB2312"/>
          <w:sz w:val="32"/>
          <w:szCs w:val="32"/>
          <w:u w:val="none" w:color="auto"/>
        </w:rPr>
        <w:t xml:space="preserve"> %。主要原因是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1389"/>
          <w:tab w:val="left" w:pos="4911"/>
          <w:tab w:val="left" w:pos="590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（6）事业单位经营收入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4320"/>
          <w:tab w:val="left" w:pos="9433"/>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（7）上级补助收入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0万</w:t>
      </w:r>
      <w:r>
        <w:rPr>
          <w:rFonts w:hint="eastAsia" w:ascii="仿宋_GB2312" w:hAnsi="仿宋_GB2312" w:eastAsia="仿宋_GB2312" w:cs="仿宋_GB2312"/>
          <w:sz w:val="32"/>
          <w:szCs w:val="32"/>
          <w:u w:val="none" w:color="auto"/>
        </w:rPr>
        <w:t>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1389"/>
          <w:tab w:val="left" w:pos="4911"/>
          <w:tab w:val="left" w:pos="590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（8）附属单位上缴收入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3310"/>
          <w:tab w:val="left" w:pos="4121"/>
          <w:tab w:val="left" w:pos="9431"/>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（9）其他收入</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不存在此项内容</w:t>
      </w:r>
      <w:r>
        <w:rPr>
          <w:rFonts w:hint="eastAsia" w:ascii="仿宋_GB2312" w:hAnsi="仿宋_GB2312" w:eastAsia="仿宋_GB2312" w:cs="仿宋_GB2312"/>
          <w:sz w:val="32"/>
          <w:szCs w:val="32"/>
          <w:u w:val="none" w:color="auto"/>
        </w:rPr>
        <w:t>。</w:t>
      </w:r>
    </w:p>
    <w:p>
      <w:pPr>
        <w:pStyle w:val="10"/>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2．上年结转结余为</w:t>
      </w:r>
      <w:r>
        <w:rPr>
          <w:rFonts w:hint="eastAsia" w:eastAsia="仿宋_GB2312" w:cs="Times New Roman"/>
          <w:sz w:val="32"/>
          <w:szCs w:val="32"/>
          <w:u w:val="none" w:color="auto"/>
          <w:lang w:val="en-US" w:eastAsia="zh-CN"/>
        </w:rPr>
        <w:t>776.18</w:t>
      </w:r>
      <w:r>
        <w:rPr>
          <w:rFonts w:hint="default" w:ascii="Times New Roman" w:hAnsi="Times New Roman" w:eastAsia="仿宋_GB2312" w:cs="Times New Roman"/>
          <w:sz w:val="32"/>
          <w:szCs w:val="32"/>
          <w:u w:val="none" w:color="auto"/>
        </w:rPr>
        <w:t>万元。与上年相比减少</w:t>
      </w:r>
      <w:r>
        <w:rPr>
          <w:rFonts w:hint="eastAsia" w:eastAsia="仿宋_GB2312" w:cs="Times New Roman"/>
          <w:sz w:val="32"/>
          <w:szCs w:val="32"/>
          <w:u w:val="none" w:color="auto"/>
          <w:lang w:val="en-US" w:eastAsia="zh-CN"/>
        </w:rPr>
        <w:t>23.82</w:t>
      </w:r>
      <w:r>
        <w:rPr>
          <w:rFonts w:hint="default" w:ascii="Times New Roman" w:hAnsi="Times New Roman" w:eastAsia="仿宋_GB2312" w:cs="Times New Roman"/>
          <w:sz w:val="32"/>
          <w:szCs w:val="32"/>
          <w:u w:val="none" w:color="auto"/>
        </w:rPr>
        <w:t>万元，减少</w:t>
      </w:r>
      <w:r>
        <w:rPr>
          <w:rFonts w:hint="eastAsia" w:eastAsia="仿宋_GB2312" w:cs="Times New Roman"/>
          <w:sz w:val="32"/>
          <w:szCs w:val="32"/>
          <w:u w:val="none" w:color="auto"/>
          <w:lang w:val="en-US" w:eastAsia="zh-CN"/>
        </w:rPr>
        <w:t>2.98</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上年结转减少</w:t>
      </w:r>
      <w:r>
        <w:rPr>
          <w:rFonts w:hint="default" w:ascii="Times New Roman" w:hAnsi="Times New Roman" w:eastAsia="仿宋_GB2312" w:cs="Times New Roman"/>
          <w:sz w:val="32"/>
          <w:szCs w:val="32"/>
          <w:u w:val="none" w:color="auto"/>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color="auto"/>
        </w:rPr>
      </w:pPr>
      <w:r>
        <w:rPr>
          <w:rFonts w:hint="eastAsia" w:ascii="楷体" w:hAnsi="楷体" w:eastAsia="楷体" w:cs="楷体"/>
          <w:b/>
          <w:bCs/>
          <w:sz w:val="32"/>
          <w:szCs w:val="32"/>
          <w:u w:val="none" w:color="auto"/>
        </w:rPr>
        <w:t>（二）支出预算总计</w:t>
      </w:r>
      <w:r>
        <w:rPr>
          <w:rFonts w:hint="eastAsia" w:ascii="仿宋" w:hAnsi="仿宋" w:eastAsia="仿宋" w:cs="仿宋"/>
          <w:sz w:val="32"/>
          <w:szCs w:val="32"/>
          <w:u w:val="none" w:color="auto"/>
          <w:lang w:val="en-US" w:eastAsia="zh-CN"/>
        </w:rPr>
        <w:t>4281.48</w:t>
      </w:r>
      <w:r>
        <w:rPr>
          <w:rFonts w:hint="eastAsia" w:ascii="楷体" w:hAnsi="楷体" w:eastAsia="楷体" w:cs="楷体"/>
          <w:b/>
          <w:bCs/>
          <w:sz w:val="32"/>
          <w:szCs w:val="32"/>
          <w:u w:val="none" w:color="auto"/>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1．本年支出合计</w:t>
      </w:r>
      <w:r>
        <w:rPr>
          <w:rFonts w:hint="eastAsia" w:eastAsia="仿宋_GB2312" w:cs="Times New Roman"/>
          <w:sz w:val="32"/>
          <w:szCs w:val="32"/>
          <w:u w:val="none" w:color="auto"/>
          <w:lang w:val="en-US" w:eastAsia="zh-CN"/>
        </w:rPr>
        <w:t>4281.48</w:t>
      </w:r>
      <w:r>
        <w:rPr>
          <w:rFonts w:hint="default" w:ascii="Times New Roman" w:hAnsi="Times New Roman" w:eastAsia="仿宋_GB2312" w:cs="Times New Roman"/>
          <w:sz w:val="32"/>
          <w:szCs w:val="32"/>
          <w:u w:val="none" w:color="auto"/>
        </w:rPr>
        <w:t>万元。</w:t>
      </w:r>
    </w:p>
    <w:p>
      <w:pPr>
        <w:keepNext w:val="0"/>
        <w:keepLines w:val="0"/>
        <w:pageBreakBefore w:val="0"/>
        <w:widowControl/>
        <w:kinsoku/>
        <w:wordWrap/>
        <w:overflowPunct/>
        <w:topLinePunct w:val="0"/>
        <w:autoSpaceDE/>
        <w:autoSpaceDN/>
        <w:bidi w:val="0"/>
        <w:adjustRightInd w:val="0"/>
        <w:snapToGrid w:val="0"/>
        <w:spacing w:line="570" w:lineRule="exact"/>
        <w:ind w:firstLine="64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b w:val="0"/>
          <w:bCs/>
          <w:sz w:val="32"/>
          <w:szCs w:val="32"/>
          <w:u w:val="none" w:color="auto"/>
        </w:rPr>
        <w:t>社会保障和就业</w:t>
      </w:r>
      <w:r>
        <w:rPr>
          <w:rFonts w:hint="eastAsia" w:ascii="仿宋_GB2312" w:hAnsi="仿宋_GB2312" w:eastAsia="仿宋_GB2312" w:cs="仿宋_GB2312"/>
          <w:sz w:val="32"/>
          <w:szCs w:val="32"/>
          <w:u w:val="none" w:color="auto"/>
        </w:rPr>
        <w:t>（类）支出</w:t>
      </w:r>
      <w:r>
        <w:rPr>
          <w:rFonts w:hint="eastAsia" w:ascii="仿宋_GB2312" w:hAnsi="仿宋_GB2312" w:eastAsia="仿宋_GB2312" w:cs="仿宋_GB2312"/>
          <w:b w:val="0"/>
          <w:bCs/>
          <w:sz w:val="32"/>
          <w:szCs w:val="32"/>
          <w:u w:val="none" w:color="auto"/>
          <w:lang w:val="en-US" w:eastAsia="zh-CN"/>
        </w:rPr>
        <w:t>3297.06</w:t>
      </w:r>
      <w:r>
        <w:rPr>
          <w:rFonts w:hint="eastAsia" w:ascii="仿宋_GB2312" w:hAnsi="仿宋_GB2312" w:eastAsia="仿宋_GB2312" w:cs="仿宋_GB2312"/>
          <w:sz w:val="32"/>
          <w:szCs w:val="32"/>
          <w:u w:val="none" w:color="auto"/>
        </w:rPr>
        <w:t>万元，主要用于</w:t>
      </w:r>
      <w:r>
        <w:rPr>
          <w:rFonts w:hint="eastAsia" w:ascii="仿宋_GB2312" w:hAnsi="仿宋_GB2312" w:eastAsia="仿宋_GB2312" w:cs="仿宋_GB2312"/>
          <w:sz w:val="32"/>
          <w:szCs w:val="32"/>
          <w:u w:val="none" w:color="auto"/>
          <w:lang w:eastAsia="zh-CN"/>
        </w:rPr>
        <w:t>各个专项经费的支出</w:t>
      </w:r>
      <w:r>
        <w:rPr>
          <w:rFonts w:hint="eastAsia" w:ascii="仿宋_GB2312" w:hAnsi="仿宋_GB2312" w:eastAsia="仿宋_GB2312" w:cs="仿宋_GB2312"/>
          <w:sz w:val="32"/>
          <w:szCs w:val="32"/>
          <w:u w:val="none" w:color="auto"/>
        </w:rPr>
        <w:t>。与上年相比</w:t>
      </w:r>
      <w:r>
        <w:rPr>
          <w:rFonts w:hint="eastAsia" w:ascii="仿宋_GB2312" w:hAnsi="仿宋_GB2312" w:eastAsia="仿宋_GB2312" w:cs="仿宋_GB2312"/>
          <w:sz w:val="32"/>
          <w:szCs w:val="32"/>
          <w:u w:val="none" w:color="auto"/>
          <w:lang w:val="en-US" w:eastAsia="zh-CN"/>
        </w:rPr>
        <w:t>增加1147.8</w:t>
      </w:r>
      <w:r>
        <w:rPr>
          <w:rFonts w:hint="eastAsia" w:ascii="仿宋_GB2312" w:hAnsi="仿宋_GB2312" w:eastAsia="仿宋_GB2312" w:cs="仿宋_GB2312"/>
          <w:sz w:val="32"/>
          <w:szCs w:val="32"/>
          <w:highlight w:val="none"/>
          <w:u w:val="none" w:color="auto"/>
        </w:rPr>
        <w:t>万元，</w:t>
      </w:r>
      <w:r>
        <w:rPr>
          <w:rFonts w:hint="eastAsia" w:ascii="仿宋_GB2312" w:hAnsi="仿宋_GB2312" w:eastAsia="仿宋_GB2312" w:cs="仿宋_GB2312"/>
          <w:sz w:val="32"/>
          <w:szCs w:val="32"/>
          <w:highlight w:val="none"/>
          <w:u w:val="none" w:color="auto"/>
          <w:lang w:val="en-US" w:eastAsia="zh-CN"/>
        </w:rPr>
        <w:t>增加53.40</w:t>
      </w:r>
      <w:r>
        <w:rPr>
          <w:rFonts w:hint="eastAsia" w:ascii="仿宋_GB2312" w:hAnsi="仿宋_GB2312" w:eastAsia="仿宋_GB2312" w:cs="仿宋_GB2312"/>
          <w:sz w:val="32"/>
          <w:szCs w:val="32"/>
          <w:highlight w:val="none"/>
          <w:u w:val="none" w:color="auto"/>
        </w:rPr>
        <w:t>%。</w:t>
      </w:r>
      <w:r>
        <w:rPr>
          <w:rFonts w:hint="eastAsia" w:ascii="仿宋_GB2312" w:hAnsi="仿宋_GB2312" w:eastAsia="仿宋_GB2312" w:cs="仿宋_GB2312"/>
          <w:sz w:val="32"/>
          <w:szCs w:val="32"/>
          <w:u w:val="none" w:color="auto"/>
        </w:rPr>
        <w:t>主要原因是</w:t>
      </w:r>
      <w:r>
        <w:rPr>
          <w:rFonts w:hint="eastAsia" w:eastAsia="仿宋_GB2312" w:cs="Times New Roman"/>
          <w:sz w:val="32"/>
          <w:szCs w:val="32"/>
          <w:u w:val="none" w:color="auto"/>
          <w:lang w:val="en-US" w:eastAsia="zh-CN"/>
        </w:rPr>
        <w:t>项目收入增加</w:t>
      </w:r>
      <w:r>
        <w:rPr>
          <w:rFonts w:hint="eastAsia" w:ascii="仿宋_GB2312" w:hAnsi="仿宋_GB2312" w:eastAsia="仿宋_GB2312" w:cs="仿宋_GB2312"/>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sz w:val="32"/>
          <w:szCs w:val="32"/>
          <w:u w:val="none" w:color="auto"/>
        </w:rPr>
        <w:t>（2）</w:t>
      </w:r>
      <w:r>
        <w:rPr>
          <w:rFonts w:hint="eastAsia" w:ascii="仿宋_GB2312" w:hAnsi="仿宋_GB2312" w:eastAsia="仿宋_GB2312" w:cs="仿宋_GB2312"/>
          <w:b w:val="0"/>
          <w:bCs w:val="0"/>
          <w:sz w:val="32"/>
          <w:szCs w:val="32"/>
          <w:u w:val="none" w:color="auto"/>
          <w:lang w:eastAsia="zh-CN"/>
        </w:rPr>
        <w:t>卫生健康</w:t>
      </w:r>
      <w:r>
        <w:rPr>
          <w:rFonts w:hint="eastAsia" w:ascii="仿宋_GB2312" w:hAnsi="仿宋_GB2312" w:eastAsia="仿宋_GB2312" w:cs="仿宋_GB2312"/>
          <w:b w:val="0"/>
          <w:bCs w:val="0"/>
          <w:sz w:val="32"/>
          <w:szCs w:val="32"/>
          <w:u w:val="none" w:color="auto"/>
        </w:rPr>
        <w:t>（类）支出</w:t>
      </w:r>
      <w:r>
        <w:rPr>
          <w:rFonts w:hint="eastAsia" w:ascii="仿宋_GB2312" w:hAnsi="仿宋_GB2312" w:eastAsia="仿宋_GB2312" w:cs="仿宋_GB2312"/>
          <w:b w:val="0"/>
          <w:bCs w:val="0"/>
          <w:sz w:val="32"/>
          <w:szCs w:val="32"/>
          <w:u w:val="none" w:color="auto"/>
          <w:lang w:val="en-US" w:eastAsia="zh-CN"/>
        </w:rPr>
        <w:t>34.85</w:t>
      </w:r>
      <w:r>
        <w:rPr>
          <w:rFonts w:hint="eastAsia" w:ascii="仿宋_GB2312" w:hAnsi="仿宋_GB2312" w:eastAsia="仿宋_GB2312" w:cs="仿宋_GB2312"/>
          <w:b w:val="0"/>
          <w:bCs w:val="0"/>
          <w:sz w:val="32"/>
          <w:szCs w:val="32"/>
          <w:u w:val="none" w:color="auto"/>
        </w:rPr>
        <w:t>万元，主要用于</w:t>
      </w:r>
      <w:r>
        <w:rPr>
          <w:rFonts w:hint="eastAsia" w:ascii="仿宋_GB2312" w:hAnsi="仿宋_GB2312" w:eastAsia="仿宋_GB2312" w:cs="仿宋_GB2312"/>
          <w:b w:val="0"/>
          <w:bCs w:val="0"/>
          <w:sz w:val="32"/>
          <w:szCs w:val="32"/>
          <w:u w:val="none" w:color="auto"/>
          <w:lang w:eastAsia="zh-CN"/>
        </w:rPr>
        <w:t>单位职工的医疗保险缴纳</w:t>
      </w:r>
      <w:r>
        <w:rPr>
          <w:rFonts w:hint="eastAsia" w:ascii="仿宋_GB2312" w:hAnsi="仿宋_GB2312" w:eastAsia="仿宋_GB2312" w:cs="仿宋_GB2312"/>
          <w:b w:val="0"/>
          <w:bCs w:val="0"/>
          <w:sz w:val="32"/>
          <w:szCs w:val="32"/>
          <w:u w:val="none" w:color="auto"/>
        </w:rPr>
        <w:t>。与上年相比</w:t>
      </w:r>
      <w:r>
        <w:rPr>
          <w:rFonts w:hint="eastAsia" w:ascii="仿宋_GB2312" w:hAnsi="仿宋_GB2312" w:eastAsia="仿宋_GB2312" w:cs="仿宋_GB2312"/>
          <w:b w:val="0"/>
          <w:bCs w:val="0"/>
          <w:sz w:val="32"/>
          <w:szCs w:val="32"/>
          <w:u w:val="none" w:color="auto"/>
          <w:lang w:val="en-US" w:eastAsia="zh-CN"/>
        </w:rPr>
        <w:t>增加3.66</w:t>
      </w:r>
      <w:r>
        <w:rPr>
          <w:rFonts w:hint="eastAsia" w:ascii="仿宋_GB2312" w:hAnsi="仿宋_GB2312" w:eastAsia="仿宋_GB2312" w:cs="仿宋_GB2312"/>
          <w:b w:val="0"/>
          <w:bCs w:val="0"/>
          <w:sz w:val="32"/>
          <w:szCs w:val="32"/>
          <w:u w:val="none" w:color="auto"/>
        </w:rPr>
        <w:t>万元，</w:t>
      </w:r>
      <w:r>
        <w:rPr>
          <w:rFonts w:hint="eastAsia" w:ascii="仿宋_GB2312" w:hAnsi="仿宋_GB2312" w:eastAsia="仿宋_GB2312" w:cs="仿宋_GB2312"/>
          <w:b w:val="0"/>
          <w:bCs w:val="0"/>
          <w:sz w:val="32"/>
          <w:szCs w:val="32"/>
          <w:u w:val="none" w:color="auto"/>
          <w:lang w:val="en-US" w:eastAsia="zh-CN"/>
        </w:rPr>
        <w:t>增加11.73</w:t>
      </w:r>
      <w:r>
        <w:rPr>
          <w:rFonts w:hint="eastAsia" w:ascii="仿宋_GB2312" w:hAnsi="仿宋_GB2312" w:eastAsia="仿宋_GB2312" w:cs="仿宋_GB2312"/>
          <w:b w:val="0"/>
          <w:bCs w:val="0"/>
          <w:sz w:val="32"/>
          <w:szCs w:val="32"/>
          <w:u w:val="none" w:color="auto"/>
        </w:rPr>
        <w:t>%。主要原因是</w:t>
      </w:r>
      <w:r>
        <w:rPr>
          <w:rFonts w:hint="eastAsia" w:ascii="仿宋_GB2312" w:hAnsi="仿宋_GB2312" w:eastAsia="仿宋_GB2312" w:cs="仿宋_GB2312"/>
          <w:b w:val="0"/>
          <w:bCs w:val="0"/>
          <w:sz w:val="32"/>
          <w:szCs w:val="32"/>
          <w:u w:val="none" w:color="auto"/>
          <w:lang w:val="en-US" w:eastAsia="zh-CN"/>
        </w:rPr>
        <w:t>人员考录，增加经费</w:t>
      </w:r>
      <w:r>
        <w:rPr>
          <w:rFonts w:hint="eastAsia" w:ascii="仿宋_GB2312" w:hAnsi="仿宋_GB2312" w:eastAsia="仿宋_GB2312" w:cs="仿宋_GB2312"/>
          <w:b w:val="0"/>
          <w:bCs w:val="0"/>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3</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住房保障</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sz w:val="32"/>
          <w:szCs w:val="32"/>
          <w:u w:val="none" w:color="auto"/>
        </w:rPr>
        <w:t>类）支出</w:t>
      </w:r>
      <w:r>
        <w:rPr>
          <w:rFonts w:hint="eastAsia" w:ascii="仿宋_GB2312" w:hAnsi="仿宋_GB2312" w:eastAsia="仿宋_GB2312" w:cs="仿宋_GB2312"/>
          <w:sz w:val="32"/>
          <w:szCs w:val="32"/>
          <w:u w:val="none" w:color="auto"/>
          <w:lang w:val="en-US" w:eastAsia="zh-CN"/>
        </w:rPr>
        <w:t>50.81万元，</w:t>
      </w:r>
      <w:r>
        <w:rPr>
          <w:rFonts w:hint="eastAsia" w:ascii="仿宋_GB2312" w:hAnsi="仿宋_GB2312" w:eastAsia="仿宋_GB2312" w:cs="仿宋_GB2312"/>
          <w:sz w:val="32"/>
          <w:szCs w:val="32"/>
          <w:u w:val="none" w:color="auto"/>
        </w:rPr>
        <w:t>主要用于</w:t>
      </w:r>
      <w:r>
        <w:rPr>
          <w:rFonts w:hint="eastAsia" w:ascii="仿宋_GB2312" w:hAnsi="仿宋_GB2312" w:eastAsia="仿宋_GB2312" w:cs="仿宋_GB2312"/>
          <w:sz w:val="32"/>
          <w:szCs w:val="32"/>
          <w:u w:val="none" w:color="auto"/>
          <w:lang w:eastAsia="zh-CN"/>
        </w:rPr>
        <w:t>单位职工的住房公积金缴纳</w:t>
      </w:r>
      <w:r>
        <w:rPr>
          <w:rFonts w:hint="eastAsia" w:ascii="仿宋_GB2312" w:hAnsi="仿宋_GB2312" w:eastAsia="仿宋_GB2312" w:cs="仿宋_GB2312"/>
          <w:sz w:val="32"/>
          <w:szCs w:val="32"/>
          <w:u w:val="none" w:color="auto"/>
        </w:rPr>
        <w:t>。与上年相比</w:t>
      </w:r>
      <w:r>
        <w:rPr>
          <w:rFonts w:hint="eastAsia" w:ascii="仿宋_GB2312" w:hAnsi="仿宋_GB2312" w:eastAsia="仿宋_GB2312" w:cs="仿宋_GB2312"/>
          <w:sz w:val="32"/>
          <w:szCs w:val="32"/>
          <w:u w:val="none" w:color="auto"/>
          <w:lang w:val="en-US" w:eastAsia="zh-CN"/>
        </w:rPr>
        <w:t>增加5.31</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增加11.67</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tabs>
          <w:tab w:val="left" w:pos="2671"/>
          <w:tab w:val="left" w:pos="5000"/>
          <w:tab w:val="left" w:pos="619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3</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val="en-US" w:eastAsia="zh-CN"/>
        </w:rPr>
        <w:t>其他</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sz w:val="32"/>
          <w:szCs w:val="32"/>
          <w:u w:val="none" w:color="auto"/>
        </w:rPr>
        <w:t>类）支出</w:t>
      </w:r>
      <w:r>
        <w:rPr>
          <w:rFonts w:hint="eastAsia" w:ascii="仿宋_GB2312" w:hAnsi="仿宋_GB2312" w:eastAsia="仿宋_GB2312" w:cs="仿宋_GB2312"/>
          <w:sz w:val="32"/>
          <w:szCs w:val="32"/>
          <w:u w:val="none" w:color="auto"/>
          <w:lang w:val="en-US" w:eastAsia="zh-CN"/>
        </w:rPr>
        <w:t>898.76万元，</w:t>
      </w:r>
      <w:r>
        <w:rPr>
          <w:rFonts w:hint="eastAsia" w:ascii="仿宋_GB2312" w:hAnsi="仿宋_GB2312" w:eastAsia="仿宋_GB2312" w:cs="仿宋_GB2312"/>
          <w:sz w:val="32"/>
          <w:szCs w:val="32"/>
          <w:u w:val="none" w:color="auto"/>
        </w:rPr>
        <w:t>主要用于</w:t>
      </w:r>
      <w:r>
        <w:rPr>
          <w:rFonts w:hint="eastAsia" w:ascii="仿宋_GB2312" w:hAnsi="仿宋_GB2312" w:eastAsia="仿宋_GB2312" w:cs="仿宋_GB2312"/>
          <w:sz w:val="32"/>
          <w:szCs w:val="32"/>
          <w:u w:val="none" w:color="auto"/>
          <w:lang w:val="en-US" w:eastAsia="zh-CN"/>
        </w:rPr>
        <w:t>上年结转工作经费</w:t>
      </w:r>
      <w:r>
        <w:rPr>
          <w:rFonts w:hint="eastAsia" w:ascii="仿宋_GB2312" w:hAnsi="仿宋_GB2312" w:eastAsia="仿宋_GB2312" w:cs="仿宋_GB2312"/>
          <w:sz w:val="32"/>
          <w:szCs w:val="32"/>
          <w:u w:val="none" w:color="auto"/>
        </w:rPr>
        <w:t>。与上年相比</w:t>
      </w:r>
      <w:r>
        <w:rPr>
          <w:rFonts w:hint="eastAsia" w:ascii="仿宋_GB2312" w:hAnsi="仿宋_GB2312" w:eastAsia="仿宋_GB2312" w:cs="仿宋_GB2312"/>
          <w:sz w:val="32"/>
          <w:szCs w:val="32"/>
          <w:u w:val="none" w:color="auto"/>
          <w:lang w:val="en-US" w:eastAsia="zh-CN"/>
        </w:rPr>
        <w:t>增加98.76</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增长12.34</w:t>
      </w:r>
      <w:r>
        <w:rPr>
          <w:rFonts w:hint="eastAsia" w:ascii="仿宋_GB2312" w:hAnsi="仿宋_GB2312" w:eastAsia="仿宋_GB2312" w:cs="仿宋_GB2312"/>
          <w:sz w:val="32"/>
          <w:szCs w:val="32"/>
          <w:u w:val="none" w:color="auto"/>
        </w:rPr>
        <w:t>%。主要原因是</w:t>
      </w:r>
      <w:r>
        <w:rPr>
          <w:rFonts w:hint="eastAsia" w:eastAsia="仿宋_GB2312" w:cs="Times New Roman"/>
          <w:sz w:val="32"/>
          <w:szCs w:val="32"/>
          <w:u w:val="none" w:color="auto"/>
          <w:lang w:val="en-US" w:eastAsia="zh-CN"/>
        </w:rPr>
        <w:t>今年拨入工作经费</w:t>
      </w:r>
      <w:r>
        <w:rPr>
          <w:rFonts w:hint="eastAsia" w:ascii="仿宋_GB2312" w:hAnsi="仿宋_GB2312" w:eastAsia="仿宋_GB2312" w:cs="仿宋_GB2312"/>
          <w:sz w:val="32"/>
          <w:szCs w:val="32"/>
          <w:u w:val="none" w:color="auto"/>
        </w:rPr>
        <w:t>。</w:t>
      </w:r>
    </w:p>
    <w:p>
      <w:pPr>
        <w:pStyle w:val="10"/>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2．年终结转结余为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万元，主要原因是</w:t>
      </w:r>
      <w:r>
        <w:rPr>
          <w:rFonts w:hint="eastAsia" w:eastAsia="仿宋_GB2312" w:cs="Times New Roman"/>
          <w:sz w:val="32"/>
          <w:szCs w:val="32"/>
          <w:u w:val="none" w:color="auto"/>
          <w:lang w:val="en-US" w:eastAsia="zh-CN"/>
        </w:rPr>
        <w:t>无年终结转结余</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二、收入预算情况说明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包头市民政局2024</w:t>
      </w:r>
      <w:r>
        <w:rPr>
          <w:rFonts w:hint="default" w:ascii="Times New Roman" w:hAnsi="Times New Roman" w:eastAsia="仿宋_GB2312" w:cs="Times New Roman"/>
          <w:sz w:val="32"/>
          <w:szCs w:val="32"/>
          <w:u w:val="none" w:color="auto"/>
        </w:rPr>
        <w:t>年收入预算合计</w:t>
      </w:r>
      <w:r>
        <w:rPr>
          <w:rFonts w:hint="eastAsia" w:eastAsia="仿宋_GB2312" w:cs="Times New Roman"/>
          <w:sz w:val="32"/>
          <w:szCs w:val="32"/>
          <w:u w:val="none" w:color="auto"/>
          <w:lang w:val="en-US" w:eastAsia="zh-CN"/>
        </w:rPr>
        <w:t>4281.48</w:t>
      </w:r>
      <w:r>
        <w:rPr>
          <w:rFonts w:hint="default" w:ascii="Times New Roman" w:hAnsi="Times New Roman" w:eastAsia="仿宋_GB2312" w:cs="Times New Roman"/>
          <w:sz w:val="32"/>
          <w:szCs w:val="32"/>
          <w:u w:val="none" w:color="auto"/>
        </w:rPr>
        <w:t xml:space="preserve">万元，包括本年收入     </w:t>
      </w:r>
      <w:r>
        <w:rPr>
          <w:rFonts w:hint="eastAsia" w:eastAsia="仿宋_GB2312" w:cs="Times New Roman"/>
          <w:sz w:val="32"/>
          <w:szCs w:val="32"/>
          <w:u w:val="none" w:color="auto"/>
          <w:lang w:val="en-US" w:eastAsia="zh-CN"/>
        </w:rPr>
        <w:t>3505.3</w:t>
      </w:r>
      <w:r>
        <w:rPr>
          <w:rFonts w:hint="default" w:ascii="Times New Roman" w:hAnsi="Times New Roman" w:eastAsia="仿宋_GB2312" w:cs="Times New Roman"/>
          <w:sz w:val="32"/>
          <w:szCs w:val="32"/>
          <w:u w:val="none" w:color="auto"/>
        </w:rPr>
        <w:t>万元，上年结转结余</w:t>
      </w:r>
      <w:r>
        <w:rPr>
          <w:rFonts w:hint="eastAsia" w:eastAsia="仿宋_GB2312" w:cs="Times New Roman"/>
          <w:sz w:val="32"/>
          <w:szCs w:val="32"/>
          <w:u w:val="none" w:color="auto"/>
          <w:lang w:val="en-US" w:eastAsia="zh-CN"/>
        </w:rPr>
        <w:t>776.18</w:t>
      </w:r>
      <w:r>
        <w:rPr>
          <w:rFonts w:hint="default" w:ascii="Times New Roman" w:hAnsi="Times New Roman" w:eastAsia="仿宋_GB2312" w:cs="Times New Roman"/>
          <w:sz w:val="32"/>
          <w:szCs w:val="32"/>
          <w:u w:val="none" w:color="auto"/>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本年一般公共预算收入</w:t>
      </w:r>
      <w:r>
        <w:rPr>
          <w:rFonts w:hint="eastAsia" w:eastAsia="仿宋_GB2312" w:cs="Times New Roman"/>
          <w:sz w:val="32"/>
          <w:szCs w:val="32"/>
          <w:u w:val="none" w:color="auto"/>
          <w:lang w:val="en-US" w:eastAsia="zh-CN"/>
        </w:rPr>
        <w:t>3357.02</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78.41</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本年政府性基金预算收入</w:t>
      </w:r>
      <w:r>
        <w:rPr>
          <w:rFonts w:hint="eastAsia" w:eastAsia="仿宋_GB2312" w:cs="Times New Roman"/>
          <w:sz w:val="32"/>
          <w:szCs w:val="32"/>
          <w:u w:val="none" w:color="auto"/>
          <w:lang w:val="en-US" w:eastAsia="zh-CN"/>
        </w:rPr>
        <w:t>148.28</w:t>
      </w:r>
      <w:r>
        <w:rPr>
          <w:rFonts w:hint="default" w:ascii="Times New Roman" w:hAnsi="Times New Roman" w:eastAsia="仿宋_GB2312" w:cs="Times New Roman"/>
          <w:sz w:val="32"/>
          <w:szCs w:val="32"/>
          <w:u w:val="none" w:color="auto"/>
        </w:rPr>
        <w:t>万元，占</w:t>
      </w:r>
      <w:r>
        <w:rPr>
          <w:rFonts w:hint="eastAsia" w:ascii="Times New Roman" w:hAnsi="Times New Roman" w:eastAsia="仿宋_GB2312" w:cs="Times New Roman"/>
          <w:sz w:val="32"/>
          <w:szCs w:val="32"/>
          <w:u w:val="none" w:color="auto"/>
          <w:lang w:val="en-US" w:eastAsia="zh-CN"/>
        </w:rPr>
        <w:t>3.46</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本年国有资本经营预算收入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本年财政专户管理资金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本年事业收入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本年事业单位经营收入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本年上级补助收入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本年附属单位上缴收入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本年其他收入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上年结转结余的一般公共预算收入</w:t>
      </w:r>
      <w:r>
        <w:rPr>
          <w:rFonts w:hint="eastAsia" w:eastAsia="仿宋_GB2312" w:cs="Times New Roman"/>
          <w:sz w:val="32"/>
          <w:szCs w:val="32"/>
          <w:u w:val="none" w:color="auto"/>
          <w:lang w:val="en-US" w:eastAsia="zh-CN"/>
        </w:rPr>
        <w:t>25.69</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0.60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上年结转结余的政府性基金预算收入</w:t>
      </w:r>
      <w:r>
        <w:rPr>
          <w:rFonts w:hint="eastAsia" w:eastAsia="仿宋_GB2312" w:cs="Times New Roman"/>
          <w:sz w:val="32"/>
          <w:szCs w:val="32"/>
          <w:u w:val="none" w:color="auto"/>
          <w:lang w:val="en-US" w:eastAsia="zh-CN"/>
        </w:rPr>
        <w:t>750.49</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17.53</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上年结转结余的国有资本经营预算收入</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上年结转结余的财政专户管理资金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_GB2312" w:hAnsi="仿宋_GB2312" w:eastAsia="仿宋_GB2312"/>
          <w:b/>
          <w:bCs/>
          <w:i/>
          <w:iCs/>
          <w:color w:val="FF0000"/>
          <w:sz w:val="32"/>
          <w:szCs w:val="24"/>
          <w:highlight w:val="yellow"/>
          <w:u w:val="none" w:color="auto"/>
        </w:rPr>
      </w:pPr>
      <w:r>
        <w:rPr>
          <w:rFonts w:hint="default" w:ascii="Times New Roman" w:hAnsi="Times New Roman" w:eastAsia="仿宋_GB2312" w:cs="Times New Roman"/>
          <w:sz w:val="32"/>
          <w:szCs w:val="32"/>
          <w:u w:val="none" w:color="auto"/>
        </w:rPr>
        <w:t>上年结转结余的单位资金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三、支出预算情况说明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包头市民政局2024</w:t>
      </w:r>
      <w:r>
        <w:rPr>
          <w:rFonts w:hint="default" w:ascii="Times New Roman" w:hAnsi="Times New Roman" w:eastAsia="仿宋_GB2312" w:cs="Times New Roman"/>
          <w:sz w:val="32"/>
          <w:szCs w:val="32"/>
          <w:u w:val="none" w:color="auto"/>
        </w:rPr>
        <w:t>年支出预算合计</w:t>
      </w:r>
      <w:r>
        <w:rPr>
          <w:rFonts w:hint="eastAsia" w:eastAsia="仿宋_GB2312" w:cs="Times New Roman"/>
          <w:sz w:val="32"/>
          <w:szCs w:val="32"/>
          <w:u w:val="none" w:color="auto"/>
          <w:lang w:val="en-US" w:eastAsia="zh-CN"/>
        </w:rPr>
        <w:t>4281.48</w:t>
      </w:r>
      <w:r>
        <w:rPr>
          <w:rFonts w:hint="default" w:ascii="Times New Roman" w:hAnsi="Times New Roman" w:eastAsia="仿宋_GB2312" w:cs="Times New Roman"/>
          <w:sz w:val="32"/>
          <w:szCs w:val="32"/>
          <w:u w:val="none" w:color="auto"/>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基本支出</w:t>
      </w:r>
      <w:r>
        <w:rPr>
          <w:rFonts w:hint="eastAsia" w:eastAsia="仿宋_GB2312" w:cs="Times New Roman"/>
          <w:sz w:val="32"/>
          <w:szCs w:val="32"/>
          <w:u w:val="none" w:color="auto"/>
          <w:lang w:val="en-US" w:eastAsia="zh-CN"/>
        </w:rPr>
        <w:t>836.02</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19.53</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项目支出</w:t>
      </w:r>
      <w:r>
        <w:rPr>
          <w:rFonts w:hint="eastAsia" w:eastAsia="仿宋_GB2312" w:cs="Times New Roman"/>
          <w:sz w:val="32"/>
          <w:szCs w:val="32"/>
          <w:u w:val="none" w:color="auto"/>
          <w:lang w:val="en-US" w:eastAsia="zh-CN"/>
        </w:rPr>
        <w:t>3445.45</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80.47</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color="auto"/>
        </w:rPr>
      </w:pPr>
      <w:r>
        <w:rPr>
          <w:rFonts w:hint="default" w:ascii="Times New Roman" w:hAnsi="Times New Roman" w:eastAsia="仿宋_GB2312" w:cs="Times New Roman"/>
          <w:sz w:val="32"/>
          <w:szCs w:val="32"/>
          <w:u w:val="none" w:color="auto"/>
        </w:rPr>
        <w:t>事业单位经营支出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上缴上级支出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对附属单位补助支出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四、财政拨款收支预算总体情况说明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highlight w:val="yellow"/>
          <w:u w:val="none" w:color="auto"/>
        </w:rPr>
      </w:pP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color="auto"/>
        </w:rPr>
      </w:pPr>
      <w:r>
        <w:rPr>
          <w:rFonts w:hint="eastAsia" w:eastAsia="仿宋_GB2312" w:cs="Times New Roman"/>
          <w:sz w:val="32"/>
          <w:szCs w:val="32"/>
          <w:u w:val="none" w:color="auto"/>
          <w:lang w:val="en-US" w:eastAsia="zh-CN"/>
        </w:rPr>
        <w:t>包头市民政局2024</w:t>
      </w:r>
      <w:r>
        <w:rPr>
          <w:rFonts w:hint="default" w:ascii="Times New Roman" w:hAnsi="Times New Roman" w:eastAsia="仿宋_GB2312" w:cs="Times New Roman"/>
          <w:sz w:val="32"/>
          <w:szCs w:val="32"/>
          <w:u w:val="none" w:color="auto"/>
        </w:rPr>
        <w:t>年度财政拨款收、支总预算</w:t>
      </w:r>
      <w:r>
        <w:rPr>
          <w:rFonts w:hint="eastAsia" w:eastAsia="仿宋_GB2312" w:cs="Times New Roman"/>
          <w:sz w:val="32"/>
          <w:szCs w:val="32"/>
          <w:u w:val="none" w:color="auto"/>
          <w:lang w:val="en-US" w:eastAsia="zh-CN"/>
        </w:rPr>
        <w:t>4281.48</w:t>
      </w:r>
      <w:r>
        <w:rPr>
          <w:rFonts w:hint="default" w:ascii="Times New Roman" w:hAnsi="Times New Roman" w:eastAsia="仿宋_GB2312" w:cs="Times New Roman"/>
          <w:sz w:val="32"/>
          <w:szCs w:val="32"/>
          <w:u w:val="none" w:color="auto"/>
        </w:rPr>
        <w:t>万元。与上年相比，财政拨款收、支总计各增加</w:t>
      </w:r>
      <w:r>
        <w:rPr>
          <w:rFonts w:hint="eastAsia" w:eastAsia="仿宋_GB2312" w:cs="Times New Roman"/>
          <w:sz w:val="32"/>
          <w:szCs w:val="32"/>
          <w:u w:val="none" w:color="auto"/>
          <w:lang w:val="en-US" w:eastAsia="zh-CN"/>
        </w:rPr>
        <w:t>1255.53</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41.49</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新拨入项目资金</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五、一般公共预算支出预算情况说明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包头市民政局2024</w:t>
      </w:r>
      <w:r>
        <w:rPr>
          <w:rFonts w:hint="default" w:ascii="Times New Roman" w:hAnsi="Times New Roman" w:eastAsia="仿宋_GB2312" w:cs="Times New Roman"/>
          <w:sz w:val="32"/>
          <w:szCs w:val="32"/>
          <w:u w:val="none" w:color="auto"/>
        </w:rPr>
        <w:t>年一般公共预算财政拨款支出预算</w:t>
      </w:r>
      <w:r>
        <w:rPr>
          <w:rFonts w:hint="eastAsia" w:eastAsia="仿宋_GB2312" w:cs="Times New Roman"/>
          <w:sz w:val="32"/>
          <w:szCs w:val="32"/>
          <w:u w:val="none" w:color="auto"/>
          <w:lang w:val="en-US" w:eastAsia="zh-CN"/>
        </w:rPr>
        <w:t>3382.72</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1156.77</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51.97</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新拨入项目资金</w:t>
      </w:r>
      <w:r>
        <w:rPr>
          <w:rFonts w:hint="default" w:ascii="Times New Roman" w:hAnsi="Times New Roman" w:eastAsia="仿宋_GB2312" w:cs="Times New Roman"/>
          <w:sz w:val="32"/>
          <w:szCs w:val="32"/>
          <w:u w:val="none" w:color="auto"/>
        </w:rPr>
        <w:t>。</w:t>
      </w:r>
    </w:p>
    <w:p>
      <w:pPr>
        <w:pStyle w:val="10"/>
        <w:pageBreakBefore w:val="0"/>
        <w:tabs>
          <w:tab w:val="left" w:pos="4275"/>
        </w:tabs>
        <w:kinsoku/>
        <w:wordWrap/>
        <w:overflowPunct/>
        <w:topLinePunct w:val="0"/>
        <w:autoSpaceDE/>
        <w:autoSpaceDN/>
        <w:bidi w:val="0"/>
        <w:spacing w:after="0" w:line="570" w:lineRule="exact"/>
        <w:ind w:firstLine="643" w:firstLineChars="200"/>
        <w:textAlignment w:val="auto"/>
        <w:rPr>
          <w:rFonts w:ascii="楷体" w:hAnsi="楷体" w:eastAsia="楷体" w:cs="楷体"/>
          <w:b/>
          <w:bCs/>
          <w:sz w:val="32"/>
          <w:szCs w:val="32"/>
          <w:u w:val="none" w:color="auto"/>
        </w:rPr>
      </w:pPr>
      <w:r>
        <w:rPr>
          <w:rFonts w:hint="eastAsia" w:ascii="楷体" w:hAnsi="楷体" w:eastAsia="楷体" w:cs="楷体"/>
          <w:b/>
          <w:bCs/>
          <w:sz w:val="32"/>
          <w:szCs w:val="32"/>
          <w:u w:val="none" w:color="auto"/>
        </w:rPr>
        <w:t>（一）</w:t>
      </w:r>
      <w:r>
        <w:rPr>
          <w:rFonts w:hint="eastAsia" w:ascii="楷体" w:hAnsi="楷体" w:eastAsia="楷体" w:cs="楷体"/>
          <w:b/>
          <w:bCs/>
          <w:sz w:val="32"/>
          <w:szCs w:val="32"/>
          <w:u w:val="none" w:color="auto"/>
          <w:lang w:val="en-US" w:eastAsia="zh-CN"/>
        </w:rPr>
        <w:t>社会保障和就业支出</w:t>
      </w:r>
      <w:r>
        <w:rPr>
          <w:rFonts w:hint="eastAsia" w:ascii="楷体" w:hAnsi="楷体" w:eastAsia="楷体" w:cs="楷体"/>
          <w:b/>
          <w:bCs/>
          <w:sz w:val="32"/>
          <w:szCs w:val="32"/>
          <w:u w:val="none" w:color="auto"/>
        </w:rPr>
        <w:t>（类）</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b w:val="0"/>
          <w:bCs w:val="0"/>
          <w:sz w:val="32"/>
          <w:szCs w:val="32"/>
          <w:u w:val="none" w:color="auto"/>
          <w:lang w:val="en-US" w:eastAsia="zh-CN"/>
        </w:rPr>
        <w:t>民政管理事务</w:t>
      </w:r>
      <w:r>
        <w:rPr>
          <w:rFonts w:hint="eastAsia" w:ascii="仿宋_GB2312" w:hAnsi="仿宋_GB2312" w:eastAsia="仿宋_GB2312" w:cs="仿宋_GB2312"/>
          <w:sz w:val="32"/>
          <w:szCs w:val="32"/>
          <w:u w:val="none" w:color="auto"/>
        </w:rPr>
        <w:t>（款）行政运行（项）。年初预算</w:t>
      </w:r>
      <w:r>
        <w:rPr>
          <w:rFonts w:hint="eastAsia" w:ascii="仿宋_GB2312" w:hAnsi="仿宋_GB2312" w:eastAsia="仿宋_GB2312" w:cs="仿宋_GB2312"/>
          <w:sz w:val="32"/>
          <w:szCs w:val="32"/>
          <w:u w:val="none" w:color="auto"/>
          <w:lang w:val="en-US" w:eastAsia="zh-CN"/>
        </w:rPr>
        <w:t>603.07</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增加48.67</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增加8.78</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新增考录人员</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b w:val="0"/>
          <w:bCs w:val="0"/>
          <w:sz w:val="32"/>
          <w:szCs w:val="32"/>
          <w:u w:val="none" w:color="auto"/>
          <w:lang w:val="en-US" w:eastAsia="zh-CN"/>
        </w:rPr>
        <w:t>民政管理事务</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基层政权建设和社区治理</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25.14</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增加25.14</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增加100</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上年结转结余</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3.</w:t>
      </w:r>
      <w:r>
        <w:rPr>
          <w:rFonts w:hint="eastAsia" w:ascii="仿宋_GB2312" w:hAnsi="仿宋_GB2312" w:eastAsia="仿宋_GB2312" w:cs="仿宋_GB2312"/>
          <w:b w:val="0"/>
          <w:bCs w:val="0"/>
          <w:sz w:val="32"/>
          <w:szCs w:val="32"/>
          <w:u w:val="none" w:color="auto"/>
          <w:lang w:val="en-US" w:eastAsia="zh-CN"/>
        </w:rPr>
        <w:t>民政管理事务</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其他民政管理事务支出</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0.55</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增加0.55</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增加100</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上年结转结余</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4.行政事业单位养老支出</w:t>
      </w:r>
      <w:r>
        <w:rPr>
          <w:rFonts w:hint="eastAsia" w:ascii="仿宋_GB2312" w:hAnsi="仿宋_GB2312" w:eastAsia="仿宋_GB2312" w:cs="仿宋_GB2312"/>
          <w:sz w:val="32"/>
          <w:szCs w:val="32"/>
          <w:u w:val="none" w:color="auto"/>
        </w:rPr>
        <w:t>（款）行政</w:t>
      </w:r>
      <w:r>
        <w:rPr>
          <w:rFonts w:hint="eastAsia" w:ascii="仿宋_GB2312" w:hAnsi="仿宋_GB2312" w:eastAsia="仿宋_GB2312" w:cs="仿宋_GB2312"/>
          <w:sz w:val="32"/>
          <w:szCs w:val="32"/>
          <w:u w:val="none" w:color="auto"/>
          <w:lang w:val="en-US" w:eastAsia="zh-CN"/>
        </w:rPr>
        <w:t>单位离退休</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81.87</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增加45.56</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 xml:space="preserve">增长125.48 </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增加退休人员工资部分</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5.行政事业单位养老支出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机关事业单位基本养老保险缴费支出</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65.43</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增加6.87</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增长11.73</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6.社会福利</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殡葬</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1521</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增加21</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增长1.4</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新拨入项目资金</w:t>
      </w:r>
      <w:r>
        <w:rPr>
          <w:rFonts w:hint="eastAsia" w:ascii="仿宋_GB2312" w:hAnsi="仿宋_GB2312" w:eastAsia="仿宋_GB2312" w:cs="仿宋_GB2312"/>
          <w:sz w:val="32"/>
          <w:szCs w:val="32"/>
          <w:u w:val="none" w:color="auto"/>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u w:val="none" w:color="auto"/>
          <w:lang w:val="en-US" w:eastAsia="zh-CN"/>
        </w:rPr>
      </w:pPr>
      <w:r>
        <w:rPr>
          <w:rFonts w:hint="eastAsia" w:ascii="仿宋_GB2312" w:hAnsi="仿宋_GB2312" w:eastAsia="仿宋_GB2312" w:cs="仿宋_GB2312"/>
          <w:sz w:val="32"/>
          <w:szCs w:val="32"/>
          <w:u w:val="none" w:color="auto"/>
          <w:lang w:val="en-US" w:eastAsia="zh-CN"/>
        </w:rPr>
        <w:t>7.其他社会保障和就业支出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其他社会保障和就业支出</w:t>
      </w:r>
      <w:r>
        <w:rPr>
          <w:rFonts w:hint="eastAsia" w:ascii="仿宋_GB2312" w:hAnsi="仿宋_GB2312" w:eastAsia="仿宋_GB2312" w:cs="仿宋_GB2312"/>
          <w:sz w:val="32"/>
          <w:szCs w:val="32"/>
          <w:u w:val="none" w:color="auto"/>
        </w:rPr>
        <w:t>（项）</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年初预算</w:t>
      </w:r>
      <w:r>
        <w:rPr>
          <w:rFonts w:hint="eastAsia" w:ascii="仿宋_GB2312" w:hAnsi="仿宋_GB2312" w:eastAsia="仿宋_GB2312" w:cs="仿宋_GB2312"/>
          <w:sz w:val="32"/>
          <w:szCs w:val="32"/>
          <w:u w:val="none" w:color="auto"/>
          <w:lang w:val="en-US" w:eastAsia="zh-CN"/>
        </w:rPr>
        <w:t>1000</w:t>
      </w:r>
      <w:r>
        <w:rPr>
          <w:rFonts w:hint="eastAsia" w:ascii="仿宋_GB2312" w:hAnsi="仿宋_GB2312" w:eastAsia="仿宋_GB2312" w:cs="仿宋_GB2312"/>
          <w:sz w:val="32"/>
          <w:szCs w:val="32"/>
          <w:u w:val="none" w:color="auto"/>
        </w:rPr>
        <w:t>万元，与上年相比</w:t>
      </w:r>
      <w:r>
        <w:rPr>
          <w:rFonts w:hint="eastAsia" w:ascii="仿宋_GB2312" w:hAnsi="仿宋_GB2312" w:eastAsia="仿宋_GB2312" w:cs="仿宋_GB2312"/>
          <w:sz w:val="32"/>
          <w:szCs w:val="32"/>
          <w:u w:val="none" w:color="auto"/>
          <w:lang w:val="en-US" w:eastAsia="zh-CN"/>
        </w:rPr>
        <w:t>增加1000</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val="en-US" w:eastAsia="zh-CN"/>
        </w:rPr>
        <w:t>增长100</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新拨入项目资金</w:t>
      </w:r>
      <w:r>
        <w:rPr>
          <w:rFonts w:hint="eastAsia" w:ascii="仿宋_GB2312" w:hAnsi="仿宋_GB2312" w:eastAsia="仿宋_GB2312" w:cs="仿宋_GB2312"/>
          <w:sz w:val="32"/>
          <w:szCs w:val="32"/>
          <w:u w:val="none" w:color="auto"/>
        </w:rPr>
        <w:t>。</w:t>
      </w:r>
    </w:p>
    <w:p>
      <w:pPr>
        <w:pStyle w:val="10"/>
        <w:pageBreakBefore w:val="0"/>
        <w:tabs>
          <w:tab w:val="left" w:pos="4275"/>
        </w:tabs>
        <w:kinsoku/>
        <w:wordWrap/>
        <w:overflowPunct/>
        <w:topLinePunct w:val="0"/>
        <w:autoSpaceDE/>
        <w:autoSpaceDN/>
        <w:bidi w:val="0"/>
        <w:spacing w:after="0" w:line="570" w:lineRule="exact"/>
        <w:ind w:firstLine="643" w:firstLineChars="200"/>
        <w:textAlignment w:val="auto"/>
        <w:rPr>
          <w:rFonts w:ascii="楷体" w:hAnsi="楷体" w:eastAsia="楷体" w:cs="楷体"/>
          <w:b/>
          <w:bCs/>
          <w:sz w:val="32"/>
          <w:szCs w:val="32"/>
          <w:u w:val="none" w:color="auto"/>
        </w:rPr>
      </w:pPr>
      <w:r>
        <w:rPr>
          <w:rFonts w:hint="eastAsia" w:ascii="楷体" w:hAnsi="楷体" w:eastAsia="楷体" w:cs="楷体"/>
          <w:b/>
          <w:bCs/>
          <w:sz w:val="32"/>
          <w:szCs w:val="32"/>
          <w:u w:val="none" w:color="auto"/>
        </w:rPr>
        <w:t>（二）</w:t>
      </w:r>
      <w:r>
        <w:rPr>
          <w:rFonts w:hint="eastAsia" w:ascii="楷体" w:hAnsi="楷体" w:eastAsia="楷体" w:cs="楷体"/>
          <w:b/>
          <w:bCs/>
          <w:sz w:val="32"/>
          <w:szCs w:val="32"/>
          <w:u w:val="none" w:color="auto"/>
          <w:lang w:val="en-US" w:eastAsia="zh-CN"/>
        </w:rPr>
        <w:t>卫生健康支出</w:t>
      </w:r>
      <w:r>
        <w:rPr>
          <w:rFonts w:hint="eastAsia" w:ascii="楷体" w:hAnsi="楷体" w:eastAsia="楷体" w:cs="楷体"/>
          <w:b/>
          <w:bCs/>
          <w:sz w:val="32"/>
          <w:szCs w:val="32"/>
          <w:u w:val="none" w:color="auto"/>
        </w:rPr>
        <w:t>（类）</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sz w:val="32"/>
          <w:szCs w:val="32"/>
          <w:u w:val="none" w:color="auto"/>
          <w:lang w:val="en-US" w:eastAsia="zh-CN"/>
        </w:rPr>
        <w:t>行政事业单位医疗</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行政单位医疗</w:t>
      </w:r>
      <w:r>
        <w:rPr>
          <w:rFonts w:hint="eastAsia" w:ascii="仿宋_GB2312" w:hAnsi="仿宋_GB2312" w:eastAsia="仿宋_GB2312" w:cs="仿宋_GB2312"/>
          <w:sz w:val="32"/>
          <w:szCs w:val="32"/>
          <w:u w:val="none" w:color="auto"/>
        </w:rPr>
        <w:t>（项）。年初预算</w:t>
      </w:r>
      <w:r>
        <w:rPr>
          <w:rFonts w:hint="eastAsia" w:ascii="仿宋_GB2312" w:hAnsi="仿宋_GB2312" w:eastAsia="仿宋_GB2312" w:cs="仿宋_GB2312"/>
          <w:sz w:val="32"/>
          <w:szCs w:val="32"/>
          <w:u w:val="none" w:color="auto"/>
          <w:lang w:val="en-US" w:eastAsia="zh-CN"/>
        </w:rPr>
        <w:t>34.85</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3.66</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11.73</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Style w:val="10"/>
        <w:pageBreakBefore w:val="0"/>
        <w:tabs>
          <w:tab w:val="left" w:pos="4275"/>
        </w:tabs>
        <w:kinsoku/>
        <w:wordWrap/>
        <w:overflowPunct/>
        <w:topLinePunct w:val="0"/>
        <w:autoSpaceDE/>
        <w:autoSpaceDN/>
        <w:bidi w:val="0"/>
        <w:spacing w:after="0" w:line="570" w:lineRule="exact"/>
        <w:ind w:firstLine="643" w:firstLineChars="200"/>
        <w:textAlignment w:val="auto"/>
        <w:rPr>
          <w:rFonts w:ascii="楷体" w:hAnsi="楷体" w:eastAsia="楷体" w:cs="楷体"/>
          <w:b/>
          <w:bCs/>
          <w:sz w:val="32"/>
          <w:szCs w:val="32"/>
          <w:u w:val="none" w:color="auto"/>
        </w:rPr>
      </w:pPr>
      <w:r>
        <w:rPr>
          <w:rFonts w:hint="eastAsia" w:ascii="楷体" w:hAnsi="楷体" w:eastAsia="楷体" w:cs="楷体"/>
          <w:b/>
          <w:bCs/>
          <w:sz w:val="32"/>
          <w:szCs w:val="32"/>
          <w:u w:val="none" w:color="auto"/>
        </w:rPr>
        <w:t>（</w:t>
      </w:r>
      <w:r>
        <w:rPr>
          <w:rFonts w:hint="eastAsia" w:ascii="楷体" w:hAnsi="楷体" w:eastAsia="楷体" w:cs="楷体"/>
          <w:b/>
          <w:bCs/>
          <w:sz w:val="32"/>
          <w:szCs w:val="32"/>
          <w:u w:val="none" w:color="auto"/>
          <w:lang w:val="en-US" w:eastAsia="zh-CN"/>
        </w:rPr>
        <w:t>三</w:t>
      </w:r>
      <w:r>
        <w:rPr>
          <w:rFonts w:hint="eastAsia" w:ascii="楷体" w:hAnsi="楷体" w:eastAsia="楷体" w:cs="楷体"/>
          <w:b/>
          <w:bCs/>
          <w:sz w:val="32"/>
          <w:szCs w:val="32"/>
          <w:u w:val="none" w:color="auto"/>
        </w:rPr>
        <w:t>）</w:t>
      </w:r>
      <w:r>
        <w:rPr>
          <w:rFonts w:hint="eastAsia" w:ascii="楷体" w:hAnsi="楷体" w:eastAsia="楷体" w:cs="楷体"/>
          <w:b/>
          <w:bCs/>
          <w:sz w:val="32"/>
          <w:szCs w:val="32"/>
          <w:u w:val="none" w:color="auto"/>
          <w:lang w:val="en-US" w:eastAsia="zh-CN"/>
        </w:rPr>
        <w:t>住房保障支出</w:t>
      </w:r>
      <w:r>
        <w:rPr>
          <w:rFonts w:hint="eastAsia" w:ascii="楷体" w:hAnsi="楷体" w:eastAsia="楷体" w:cs="楷体"/>
          <w:b/>
          <w:bCs/>
          <w:sz w:val="32"/>
          <w:szCs w:val="32"/>
          <w:u w:val="none" w:color="auto"/>
        </w:rPr>
        <w:t>（类）</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sz w:val="32"/>
          <w:szCs w:val="32"/>
          <w:u w:val="none" w:color="auto"/>
          <w:lang w:val="en-US" w:eastAsia="zh-CN"/>
        </w:rPr>
        <w:t>住房改革支出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住房公积金</w:t>
      </w:r>
      <w:r>
        <w:rPr>
          <w:rFonts w:hint="eastAsia" w:ascii="仿宋_GB2312" w:hAnsi="仿宋_GB2312" w:eastAsia="仿宋_GB2312" w:cs="仿宋_GB2312"/>
          <w:sz w:val="32"/>
          <w:szCs w:val="32"/>
          <w:u w:val="none" w:color="auto"/>
        </w:rPr>
        <w:t>（项）。年初预算</w:t>
      </w:r>
      <w:r>
        <w:rPr>
          <w:rFonts w:hint="eastAsia" w:ascii="仿宋_GB2312" w:hAnsi="仿宋_GB2312" w:eastAsia="仿宋_GB2312" w:cs="仿宋_GB2312"/>
          <w:sz w:val="32"/>
          <w:szCs w:val="32"/>
          <w:u w:val="none" w:color="auto"/>
          <w:lang w:val="en-US" w:eastAsia="zh-CN"/>
        </w:rPr>
        <w:t>50.81</w:t>
      </w:r>
      <w:r>
        <w:rPr>
          <w:rFonts w:hint="eastAsia" w:ascii="仿宋_GB2312" w:hAnsi="仿宋_GB2312" w:eastAsia="仿宋_GB2312" w:cs="仿宋_GB2312"/>
          <w:sz w:val="32"/>
          <w:szCs w:val="32"/>
          <w:u w:val="none" w:color="auto"/>
        </w:rPr>
        <w:t>万元，与上年相比增加</w:t>
      </w:r>
      <w:r>
        <w:rPr>
          <w:rFonts w:hint="eastAsia" w:ascii="仿宋_GB2312" w:hAnsi="仿宋_GB2312" w:eastAsia="仿宋_GB2312" w:cs="仿宋_GB2312"/>
          <w:sz w:val="32"/>
          <w:szCs w:val="32"/>
          <w:u w:val="none" w:color="auto"/>
          <w:lang w:val="en-US" w:eastAsia="zh-CN"/>
        </w:rPr>
        <w:t>5.31</w:t>
      </w:r>
      <w:r>
        <w:rPr>
          <w:rFonts w:hint="eastAsia" w:ascii="仿宋_GB2312" w:hAnsi="仿宋_GB2312" w:eastAsia="仿宋_GB2312" w:cs="仿宋_GB2312"/>
          <w:sz w:val="32"/>
          <w:szCs w:val="32"/>
          <w:u w:val="none" w:color="auto"/>
        </w:rPr>
        <w:t>万元，增长</w:t>
      </w:r>
      <w:r>
        <w:rPr>
          <w:rFonts w:hint="eastAsia" w:ascii="仿宋_GB2312" w:hAnsi="仿宋_GB2312" w:eastAsia="仿宋_GB2312" w:cs="仿宋_GB2312"/>
          <w:sz w:val="32"/>
          <w:szCs w:val="32"/>
          <w:u w:val="none" w:color="auto"/>
          <w:lang w:val="en-US" w:eastAsia="zh-CN"/>
        </w:rPr>
        <w:t>11.67</w:t>
      </w:r>
      <w:r>
        <w:rPr>
          <w:rFonts w:hint="eastAsia" w:ascii="仿宋_GB2312" w:hAnsi="仿宋_GB2312" w:eastAsia="仿宋_GB2312" w:cs="仿宋_GB2312"/>
          <w:sz w:val="32"/>
          <w:szCs w:val="32"/>
          <w:u w:val="none" w:color="auto"/>
        </w:rPr>
        <w:t>%。变动原因：</w:t>
      </w:r>
      <w:r>
        <w:rPr>
          <w:rFonts w:hint="eastAsia" w:ascii="仿宋_GB2312" w:hAnsi="仿宋_GB2312" w:eastAsia="仿宋_GB2312" w:cs="仿宋_GB2312"/>
          <w:sz w:val="32"/>
          <w:szCs w:val="32"/>
          <w:u w:val="none" w:color="auto"/>
          <w:lang w:val="en-US" w:eastAsia="zh-CN"/>
        </w:rPr>
        <w:t>人员考录增加经费</w:t>
      </w:r>
      <w:r>
        <w:rPr>
          <w:rFonts w:hint="eastAsia" w:ascii="仿宋_GB2312" w:hAnsi="仿宋_GB2312" w:eastAsia="仿宋_GB2312" w:cs="仿宋_GB2312"/>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六、一般公共预算基本支出预算情况说明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包头市民政局2024</w:t>
      </w:r>
      <w:r>
        <w:rPr>
          <w:rFonts w:hint="default" w:ascii="Times New Roman" w:hAnsi="Times New Roman" w:eastAsia="仿宋_GB2312" w:cs="Times New Roman"/>
          <w:sz w:val="32"/>
          <w:szCs w:val="32"/>
          <w:u w:val="none" w:color="auto"/>
        </w:rPr>
        <w:t xml:space="preserve">年度一般公共预算财政拨款基本支出预算    </w:t>
      </w:r>
      <w:r>
        <w:rPr>
          <w:rFonts w:hint="eastAsia" w:eastAsia="仿宋_GB2312" w:cs="Times New Roman"/>
          <w:sz w:val="32"/>
          <w:szCs w:val="32"/>
          <w:u w:val="none" w:color="auto"/>
          <w:lang w:val="en-US" w:eastAsia="zh-CN"/>
        </w:rPr>
        <w:t>836.02</w:t>
      </w:r>
      <w:r>
        <w:rPr>
          <w:rFonts w:hint="default" w:ascii="Times New Roman" w:hAnsi="Times New Roman" w:eastAsia="仿宋_GB2312" w:cs="Times New Roman"/>
          <w:sz w:val="32"/>
          <w:szCs w:val="32"/>
          <w:u w:val="none" w:color="auto"/>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ascii="仿宋" w:hAnsi="仿宋" w:eastAsia="仿宋" w:cs="仿宋"/>
          <w:sz w:val="32"/>
          <w:szCs w:val="32"/>
          <w:highlight w:val="yellow"/>
          <w:u w:val="none" w:color="auto"/>
        </w:rPr>
      </w:pPr>
      <w:r>
        <w:rPr>
          <w:rFonts w:hint="default" w:ascii="Times New Roman" w:hAnsi="Times New Roman" w:eastAsia="仿宋_GB2312" w:cs="Times New Roman"/>
          <w:b/>
          <w:bCs/>
          <w:sz w:val="32"/>
          <w:szCs w:val="32"/>
          <w:u w:val="none" w:color="auto"/>
        </w:rPr>
        <w:t>（一）人员经费</w:t>
      </w:r>
      <w:r>
        <w:rPr>
          <w:rFonts w:hint="eastAsia" w:eastAsia="仿宋_GB2312" w:cs="Times New Roman"/>
          <w:b/>
          <w:bCs/>
          <w:sz w:val="32"/>
          <w:szCs w:val="32"/>
          <w:u w:val="none" w:color="auto"/>
          <w:lang w:val="en-US" w:eastAsia="zh-CN"/>
        </w:rPr>
        <w:t>818.57</w:t>
      </w:r>
      <w:r>
        <w:rPr>
          <w:rFonts w:hint="default" w:ascii="Times New Roman" w:hAnsi="Times New Roman" w:eastAsia="仿宋_GB2312" w:cs="Times New Roman"/>
          <w:b/>
          <w:bCs/>
          <w:sz w:val="32"/>
          <w:szCs w:val="32"/>
          <w:u w:val="none" w:color="auto"/>
        </w:rPr>
        <w:t>万元</w:t>
      </w:r>
      <w:r>
        <w:rPr>
          <w:rFonts w:hint="default" w:ascii="Times New Roman" w:hAnsi="Times New Roman" w:eastAsia="仿宋_GB2312" w:cs="Times New Roman"/>
          <w:sz w:val="32"/>
          <w:szCs w:val="32"/>
          <w:u w:val="none" w:color="auto"/>
        </w:rPr>
        <w:t>。主要包括：</w:t>
      </w:r>
      <w:r>
        <w:rPr>
          <w:rFonts w:ascii="仿宋" w:hAnsi="仿宋" w:eastAsia="仿宋" w:cs="仿宋"/>
          <w:color w:val="000000"/>
          <w:kern w:val="0"/>
          <w:sz w:val="31"/>
          <w:szCs w:val="31"/>
          <w:u w:val="none" w:color="auto"/>
          <w:lang w:val="en-US" w:eastAsia="zh-CN" w:bidi="ar"/>
        </w:rPr>
        <w:t xml:space="preserve">基本工资 </w:t>
      </w:r>
      <w:r>
        <w:rPr>
          <w:rFonts w:hint="eastAsia" w:ascii="仿宋" w:hAnsi="仿宋" w:eastAsia="仿宋" w:cs="仿宋"/>
          <w:color w:val="000000"/>
          <w:kern w:val="0"/>
          <w:sz w:val="31"/>
          <w:szCs w:val="31"/>
          <w:u w:val="none" w:color="auto"/>
          <w:lang w:val="en-US" w:eastAsia="zh-CN" w:bidi="ar"/>
        </w:rPr>
        <w:t>192.54万元、津贴补贴248.46万元、奖金114万元、机关事业单位基本养老保险缴费65.43万元、职工基本医疗保险缴费34.85万元、其他社会保障缴费6.71万元、住房公积金50.81万元、工会经费8.18万元、福利费 8.59万元、退休费81.87万元、生活补助7.14万元。</w:t>
      </w:r>
      <w:r>
        <w:rPr>
          <w:rFonts w:hint="eastAsia" w:ascii="仿宋" w:hAnsi="仿宋" w:eastAsia="仿宋" w:cs="仿宋"/>
          <w:bCs/>
          <w:color w:val="auto"/>
          <w:sz w:val="32"/>
          <w:szCs w:val="32"/>
          <w:u w:val="none" w:color="auto"/>
        </w:rPr>
        <w:t xml:space="preserve"> </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ascii="仿宋" w:hAnsi="仿宋" w:eastAsia="仿宋" w:cs="仿宋"/>
          <w:sz w:val="32"/>
          <w:szCs w:val="32"/>
          <w:highlight w:val="yellow"/>
          <w:u w:val="none" w:color="auto"/>
        </w:rPr>
      </w:pPr>
      <w:r>
        <w:rPr>
          <w:rFonts w:hint="default" w:ascii="Times New Roman" w:hAnsi="Times New Roman" w:eastAsia="仿宋_GB2312" w:cs="Times New Roman"/>
          <w:b/>
          <w:bCs/>
          <w:sz w:val="32"/>
          <w:szCs w:val="32"/>
          <w:u w:val="none" w:color="auto"/>
        </w:rPr>
        <w:t>（二）公用经费</w:t>
      </w:r>
      <w:r>
        <w:rPr>
          <w:rFonts w:hint="eastAsia" w:eastAsia="仿宋_GB2312" w:cs="Times New Roman"/>
          <w:b/>
          <w:bCs/>
          <w:sz w:val="32"/>
          <w:szCs w:val="32"/>
          <w:u w:val="none" w:color="auto"/>
          <w:lang w:val="en-US" w:eastAsia="zh-CN"/>
        </w:rPr>
        <w:t>17.46</w:t>
      </w:r>
      <w:r>
        <w:rPr>
          <w:rFonts w:hint="default" w:ascii="Times New Roman" w:hAnsi="Times New Roman" w:eastAsia="仿宋_GB2312" w:cs="Times New Roman"/>
          <w:b/>
          <w:bCs/>
          <w:sz w:val="32"/>
          <w:szCs w:val="32"/>
          <w:u w:val="none" w:color="auto"/>
        </w:rPr>
        <w:t>万元</w:t>
      </w:r>
      <w:r>
        <w:rPr>
          <w:rFonts w:hint="default" w:ascii="Times New Roman" w:hAnsi="Times New Roman" w:eastAsia="仿宋_GB2312" w:cs="Times New Roman"/>
          <w:sz w:val="32"/>
          <w:szCs w:val="32"/>
          <w:u w:val="none" w:color="auto"/>
        </w:rPr>
        <w:t>。主要包括：</w:t>
      </w:r>
      <w:r>
        <w:rPr>
          <w:rFonts w:hint="eastAsia" w:ascii="仿宋" w:hAnsi="仿宋" w:eastAsia="仿宋" w:cs="仿宋"/>
          <w:color w:val="000000"/>
          <w:kern w:val="0"/>
          <w:sz w:val="31"/>
          <w:szCs w:val="31"/>
          <w:u w:val="none" w:color="auto"/>
          <w:lang w:val="en-US" w:eastAsia="zh-CN" w:bidi="ar"/>
        </w:rPr>
        <w:t>办公费9.45 万元、差旅费 3 万元、会议费1万元、培训费1万元、公务接待费0.70万元、其他商品和服务支出 2.31 万元。</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七、一般公共预算“三公”经费支出预算情况说明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包头市民政局2024</w:t>
      </w:r>
      <w:r>
        <w:rPr>
          <w:rFonts w:hint="default" w:ascii="Times New Roman" w:hAnsi="Times New Roman" w:eastAsia="仿宋_GB2312" w:cs="Times New Roman"/>
          <w:sz w:val="32"/>
          <w:szCs w:val="32"/>
          <w:u w:val="none" w:color="auto"/>
        </w:rPr>
        <w:t>年度一般公共预算拨款安排的“三公”经费预算支出</w:t>
      </w:r>
      <w:r>
        <w:rPr>
          <w:rFonts w:hint="eastAsia" w:ascii="仿宋" w:hAnsi="仿宋" w:eastAsia="仿宋" w:cs="仿宋"/>
          <w:color w:val="auto"/>
          <w:sz w:val="32"/>
          <w:szCs w:val="32"/>
          <w:u w:val="none" w:color="auto"/>
          <w:lang w:val="en-US" w:eastAsia="zh-CN"/>
        </w:rPr>
        <w:t>0.70</w:t>
      </w:r>
      <w:r>
        <w:rPr>
          <w:rFonts w:hint="default" w:ascii="Times New Roman" w:hAnsi="Times New Roman" w:eastAsia="仿宋_GB2312" w:cs="Times New Roman"/>
          <w:sz w:val="32"/>
          <w:szCs w:val="32"/>
          <w:u w:val="none" w:color="auto"/>
        </w:rPr>
        <w:t>万元，其中因公出国（境）费支出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万元，占“三公”经费的</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%；公务用车购置及运行维护费支出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万元，占“三公”经费的</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%；公务接待费支出</w:t>
      </w:r>
      <w:r>
        <w:rPr>
          <w:rFonts w:hint="eastAsia" w:eastAsia="仿宋_GB2312" w:cs="Times New Roman"/>
          <w:sz w:val="32"/>
          <w:szCs w:val="32"/>
          <w:u w:val="none" w:color="auto"/>
          <w:lang w:val="en-US" w:eastAsia="zh-CN"/>
        </w:rPr>
        <w:t>0.70</w:t>
      </w:r>
      <w:r>
        <w:rPr>
          <w:rFonts w:hint="default" w:ascii="Times New Roman" w:hAnsi="Times New Roman" w:eastAsia="仿宋_GB2312" w:cs="Times New Roman"/>
          <w:sz w:val="32"/>
          <w:szCs w:val="32"/>
          <w:u w:val="none" w:color="auto"/>
        </w:rPr>
        <w:t>万元，占“三公”经费的</w:t>
      </w:r>
      <w:r>
        <w:rPr>
          <w:rFonts w:hint="eastAsia" w:eastAsia="仿宋_GB2312" w:cs="Times New Roman"/>
          <w:sz w:val="32"/>
          <w:szCs w:val="32"/>
          <w:u w:val="none" w:color="auto"/>
          <w:lang w:val="en-US" w:eastAsia="zh-CN"/>
        </w:rPr>
        <w:t>100</w:t>
      </w:r>
      <w:r>
        <w:rPr>
          <w:rFonts w:hint="default" w:ascii="Times New Roman" w:hAnsi="Times New Roman" w:eastAsia="仿宋_GB2312" w:cs="Times New Roman"/>
          <w:sz w:val="32"/>
          <w:szCs w:val="32"/>
          <w:u w:val="none" w:color="auto"/>
        </w:rPr>
        <w:t>%。具体情况如下：</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default" w:ascii="Times New Roman" w:hAnsi="Times New Roman" w:eastAsia="仿宋_GB2312" w:cs="Times New Roman"/>
          <w:spacing w:val="-4"/>
          <w:sz w:val="32"/>
          <w:szCs w:val="32"/>
          <w:u w:val="none" w:color="auto"/>
        </w:rPr>
      </w:pPr>
      <w:r>
        <w:rPr>
          <w:rFonts w:hint="default" w:ascii="Times New Roman" w:hAnsi="Times New Roman" w:eastAsia="仿宋_GB2312" w:cs="Times New Roman"/>
          <w:sz w:val="32"/>
          <w:szCs w:val="32"/>
          <w:u w:val="none" w:color="auto"/>
        </w:rPr>
        <w:t>一般公共预算拨款安排的“三公”经费预算支出</w:t>
      </w:r>
      <w:r>
        <w:rPr>
          <w:rFonts w:hint="eastAsia" w:eastAsia="仿宋_GB2312" w:cs="Times New Roman"/>
          <w:sz w:val="32"/>
          <w:szCs w:val="32"/>
          <w:u w:val="none" w:color="auto"/>
          <w:lang w:val="en-US" w:eastAsia="zh-CN"/>
        </w:rPr>
        <w:t>0.70</w:t>
      </w:r>
      <w:r>
        <w:rPr>
          <w:rFonts w:hint="default" w:ascii="Times New Roman" w:hAnsi="Times New Roman" w:eastAsia="仿宋_GB2312" w:cs="Times New Roman"/>
          <w:spacing w:val="-4"/>
          <w:sz w:val="32"/>
          <w:szCs w:val="32"/>
          <w:u w:val="none" w:color="auto"/>
        </w:rPr>
        <w:t>万元，</w:t>
      </w:r>
      <w:r>
        <w:rPr>
          <w:rFonts w:hint="default" w:ascii="Times New Roman" w:hAnsi="Times New Roman" w:eastAsia="仿宋_GB2312" w:cs="Times New Roman"/>
          <w:sz w:val="32"/>
          <w:szCs w:val="32"/>
          <w:u w:val="none" w:color="auto"/>
        </w:rPr>
        <w:t>比上年预算减少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w:t>
      </w:r>
      <w:r>
        <w:rPr>
          <w:rFonts w:hint="default" w:ascii="Times New Roman" w:hAnsi="Times New Roman" w:eastAsia="仿宋_GB2312" w:cs="Times New Roman"/>
          <w:spacing w:val="-6"/>
          <w:sz w:val="32"/>
          <w:szCs w:val="32"/>
          <w:u w:val="none" w:color="auto"/>
        </w:rPr>
        <w:t>；</w:t>
      </w:r>
      <w:r>
        <w:rPr>
          <w:rFonts w:hint="default" w:ascii="Times New Roman" w:hAnsi="Times New Roman" w:eastAsia="仿宋_GB2312" w:cs="Times New Roman"/>
          <w:spacing w:val="-4"/>
          <w:sz w:val="32"/>
          <w:szCs w:val="32"/>
          <w:u w:val="none" w:color="auto"/>
        </w:rPr>
        <w:t>其中：</w:t>
      </w:r>
    </w:p>
    <w:p>
      <w:pPr>
        <w:pageBreakBefore w:val="0"/>
        <w:numPr>
          <w:ilvl w:val="0"/>
          <w:numId w:val="3"/>
        </w:numPr>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color w:val="auto"/>
          <w:sz w:val="32"/>
          <w:szCs w:val="32"/>
          <w:u w:val="none" w:color="auto"/>
        </w:rPr>
      </w:pPr>
      <w:r>
        <w:rPr>
          <w:rFonts w:hint="default" w:ascii="Times New Roman" w:hAnsi="Times New Roman" w:eastAsia="仿宋_GB2312" w:cs="Times New Roman"/>
          <w:sz w:val="32"/>
          <w:szCs w:val="32"/>
          <w:u w:val="none" w:color="auto"/>
        </w:rPr>
        <w:t>因公出国（境）费预算支出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万元，比上年预算增加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万元，主要原因</w:t>
      </w:r>
      <w:r>
        <w:rPr>
          <w:rFonts w:hint="eastAsia" w:ascii="仿宋_GB2312" w:hAnsi="仿宋_GB2312" w:eastAsia="仿宋_GB2312" w:cs="仿宋_GB2312"/>
          <w:color w:val="auto"/>
          <w:sz w:val="32"/>
          <w:szCs w:val="32"/>
          <w:u w:val="none" w:color="auto"/>
          <w:lang w:eastAsia="zh-CN"/>
        </w:rPr>
        <w:t>无因公出国（境）费用</w:t>
      </w:r>
      <w:r>
        <w:rPr>
          <w:rFonts w:hint="eastAsia" w:ascii="仿宋_GB2312" w:hAnsi="仿宋_GB2312" w:eastAsia="仿宋_GB2312" w:cs="仿宋_GB2312"/>
          <w:color w:val="auto"/>
          <w:sz w:val="32"/>
          <w:szCs w:val="32"/>
          <w:u w:val="none" w:color="auto"/>
        </w:rPr>
        <w:t>。</w:t>
      </w:r>
    </w:p>
    <w:p>
      <w:pPr>
        <w:pageBreakBefore w:val="0"/>
        <w:numPr>
          <w:ilvl w:val="0"/>
          <w:numId w:val="3"/>
        </w:numPr>
        <w:pBdr>
          <w:bottom w:val="single" w:color="FFFFFF" w:sz="4" w:space="30"/>
        </w:pBdr>
        <w:kinsoku/>
        <w:wordWrap/>
        <w:overflowPunct/>
        <w:topLinePunct w:val="0"/>
        <w:bidi w:val="0"/>
        <w:snapToGrid w:val="0"/>
        <w:spacing w:line="570" w:lineRule="exact"/>
        <w:ind w:left="0" w:leftChars="0"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公务用车购置及运行维护费预算支出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万元。其中：</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eastAsia="zh-CN"/>
        </w:rPr>
        <w:t>（</w:t>
      </w:r>
      <w:r>
        <w:rPr>
          <w:rFonts w:hint="eastAsia" w:eastAsia="仿宋_GB2312" w:cs="Times New Roman"/>
          <w:sz w:val="32"/>
          <w:szCs w:val="32"/>
          <w:u w:val="none" w:color="auto"/>
          <w:lang w:val="en-US" w:eastAsia="zh-CN"/>
        </w:rPr>
        <w:t>1）</w:t>
      </w:r>
      <w:r>
        <w:rPr>
          <w:rFonts w:hint="default" w:ascii="Times New Roman" w:hAnsi="Times New Roman" w:eastAsia="仿宋_GB2312" w:cs="Times New Roman"/>
          <w:sz w:val="32"/>
          <w:szCs w:val="32"/>
          <w:u w:val="none" w:color="auto"/>
        </w:rPr>
        <w:t>公务用车购置预算支出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万元，比上年预算增加</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万元，主要原因</w:t>
      </w:r>
      <w:r>
        <w:rPr>
          <w:rFonts w:hint="eastAsia" w:ascii="仿宋_GB2312" w:hAnsi="仿宋_GB2312" w:eastAsia="仿宋_GB2312" w:cs="仿宋_GB2312"/>
          <w:color w:val="auto"/>
          <w:sz w:val="32"/>
          <w:szCs w:val="32"/>
          <w:u w:val="none" w:color="auto"/>
          <w:lang w:eastAsia="zh-CN"/>
        </w:rPr>
        <w:t>无购置公车</w:t>
      </w:r>
      <w:r>
        <w:rPr>
          <w:rFonts w:hint="default" w:ascii="Times New Roman" w:hAnsi="Times New Roman" w:eastAsia="仿宋_GB2312" w:cs="Times New Roman"/>
          <w:sz w:val="32"/>
          <w:szCs w:val="32"/>
          <w:u w:val="none" w:color="auto"/>
        </w:rPr>
        <w:t>。</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eastAsia="zh-CN"/>
        </w:rPr>
        <w:t>（</w:t>
      </w:r>
      <w:r>
        <w:rPr>
          <w:rFonts w:hint="eastAsia" w:eastAsia="仿宋_GB2312" w:cs="Times New Roman"/>
          <w:sz w:val="32"/>
          <w:szCs w:val="32"/>
          <w:u w:val="none" w:color="auto"/>
          <w:lang w:val="en-US" w:eastAsia="zh-CN"/>
        </w:rPr>
        <w:t>2）</w:t>
      </w:r>
      <w:r>
        <w:rPr>
          <w:rFonts w:hint="default" w:ascii="Times New Roman" w:hAnsi="Times New Roman" w:eastAsia="仿宋_GB2312" w:cs="Times New Roman"/>
          <w:sz w:val="32"/>
          <w:szCs w:val="32"/>
          <w:u w:val="none" w:color="auto"/>
        </w:rPr>
        <w:t>公务用车运行维护费预算支出</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万元，比上年预算减少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万元，主要原因</w:t>
      </w:r>
      <w:r>
        <w:rPr>
          <w:rFonts w:hint="eastAsia" w:eastAsia="仿宋_GB2312" w:cs="Times New Roman"/>
          <w:sz w:val="32"/>
          <w:szCs w:val="32"/>
          <w:u w:val="none" w:color="auto"/>
          <w:lang w:val="en-US" w:eastAsia="zh-CN"/>
        </w:rPr>
        <w:t>无公务用车购置费</w:t>
      </w:r>
      <w:r>
        <w:rPr>
          <w:rFonts w:hint="default" w:ascii="Times New Roman" w:hAnsi="Times New Roman" w:eastAsia="仿宋_GB2312" w:cs="Times New Roman"/>
          <w:sz w:val="32"/>
          <w:szCs w:val="32"/>
          <w:u w:val="none" w:color="auto"/>
        </w:rPr>
        <w:t>。</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eastAsia" w:ascii="Times New Roman" w:hAnsi="Times New Roman" w:eastAsia="仿宋_GB2312" w:cs="Times New Roman"/>
          <w:i/>
          <w:iCs/>
          <w:sz w:val="32"/>
          <w:szCs w:val="32"/>
          <w:highlight w:val="yellow"/>
          <w:u w:val="none" w:color="auto"/>
          <w:lang w:eastAsia="zh-CN"/>
        </w:rPr>
      </w:pPr>
      <w:r>
        <w:rPr>
          <w:rFonts w:hint="default" w:ascii="Times New Roman" w:hAnsi="Times New Roman" w:eastAsia="仿宋_GB2312" w:cs="Times New Roman"/>
          <w:sz w:val="32"/>
          <w:szCs w:val="32"/>
          <w:u w:val="none" w:color="auto"/>
        </w:rPr>
        <w:t>3．公务接待费预算支出</w:t>
      </w:r>
      <w:r>
        <w:rPr>
          <w:rFonts w:hint="eastAsia" w:eastAsia="仿宋_GB2312" w:cs="Times New Roman"/>
          <w:sz w:val="32"/>
          <w:szCs w:val="32"/>
          <w:u w:val="none" w:color="auto"/>
          <w:lang w:val="en-US" w:eastAsia="zh-CN"/>
        </w:rPr>
        <w:t>0.70</w:t>
      </w:r>
      <w:r>
        <w:rPr>
          <w:rFonts w:hint="default" w:ascii="Times New Roman" w:hAnsi="Times New Roman" w:eastAsia="仿宋_GB2312" w:cs="Times New Roman"/>
          <w:sz w:val="32"/>
          <w:szCs w:val="32"/>
          <w:u w:val="none" w:color="auto"/>
        </w:rPr>
        <w:t>万元，比上年预算</w:t>
      </w:r>
      <w:r>
        <w:rPr>
          <w:rFonts w:hint="eastAsia" w:eastAsia="仿宋_GB2312" w:cs="Times New Roman"/>
          <w:sz w:val="32"/>
          <w:szCs w:val="32"/>
          <w:u w:val="none" w:color="auto"/>
          <w:lang w:val="en-US" w:eastAsia="zh-CN"/>
        </w:rPr>
        <w:t>减少0万元</w:t>
      </w:r>
      <w:r>
        <w:rPr>
          <w:rFonts w:hint="default" w:ascii="Times New Roman" w:hAnsi="Times New Roman" w:eastAsia="仿宋_GB2312" w:cs="Times New Roman"/>
          <w:sz w:val="32"/>
          <w:szCs w:val="32"/>
          <w:u w:val="none" w:color="auto"/>
        </w:rPr>
        <w:t>，主要原因</w:t>
      </w:r>
      <w:r>
        <w:rPr>
          <w:rFonts w:hint="eastAsia" w:eastAsia="仿宋_GB2312" w:cs="Times New Roman"/>
          <w:sz w:val="32"/>
          <w:szCs w:val="32"/>
          <w:u w:val="none" w:color="auto"/>
          <w:lang w:val="en-US" w:eastAsia="zh-CN"/>
        </w:rPr>
        <w:t>三公经费持平</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八、政府性基金预算支出预算情况说明</w:t>
      </w:r>
    </w:p>
    <w:p>
      <w:pPr>
        <w:pStyle w:val="10"/>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包头市民政局2024</w:t>
      </w:r>
      <w:r>
        <w:rPr>
          <w:rFonts w:hint="default" w:ascii="Times New Roman" w:hAnsi="Times New Roman" w:eastAsia="仿宋_GB2312" w:cs="Times New Roman"/>
          <w:sz w:val="32"/>
          <w:szCs w:val="32"/>
          <w:u w:val="none" w:color="auto"/>
        </w:rPr>
        <w:t>年政府性基金支出预算支出</w:t>
      </w:r>
      <w:r>
        <w:rPr>
          <w:rFonts w:hint="eastAsia" w:eastAsia="仿宋_GB2312" w:cs="Times New Roman"/>
          <w:sz w:val="32"/>
          <w:szCs w:val="32"/>
          <w:u w:val="none" w:color="auto"/>
          <w:lang w:val="en-US" w:eastAsia="zh-CN"/>
        </w:rPr>
        <w:t>898.76</w:t>
      </w:r>
      <w:r>
        <w:rPr>
          <w:rFonts w:hint="default" w:ascii="Times New Roman" w:hAnsi="Times New Roman" w:eastAsia="仿宋_GB2312" w:cs="Times New Roman"/>
          <w:sz w:val="32"/>
          <w:szCs w:val="32"/>
          <w:u w:val="none" w:color="auto"/>
        </w:rPr>
        <w:t>万元。与上年相比增加</w:t>
      </w:r>
      <w:r>
        <w:rPr>
          <w:rFonts w:hint="eastAsia" w:eastAsia="仿宋_GB2312" w:cs="Times New Roman"/>
          <w:sz w:val="32"/>
          <w:szCs w:val="32"/>
          <w:u w:val="none" w:color="auto"/>
          <w:lang w:val="en-US" w:eastAsia="zh-CN"/>
        </w:rPr>
        <w:t>98.76</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12.34</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2024年拨入福彩公益金</w:t>
      </w:r>
      <w:r>
        <w:rPr>
          <w:rFonts w:hint="default" w:ascii="Times New Roman" w:hAnsi="Times New Roman" w:eastAsia="仿宋_GB2312" w:cs="Times New Roman"/>
          <w:sz w:val="32"/>
          <w:szCs w:val="32"/>
          <w:u w:val="none" w:color="auto"/>
        </w:rPr>
        <w:t>。</w:t>
      </w:r>
    </w:p>
    <w:p>
      <w:pPr>
        <w:pStyle w:val="10"/>
        <w:pageBreakBefore w:val="0"/>
        <w:kinsoku/>
        <w:wordWrap/>
        <w:overflowPunct/>
        <w:topLinePunct w:val="0"/>
        <w:bidi w:val="0"/>
        <w:spacing w:after="0" w:line="570" w:lineRule="exact"/>
        <w:ind w:left="17" w:leftChars="8"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其中：</w:t>
      </w:r>
    </w:p>
    <w:p>
      <w:pPr>
        <w:pStyle w:val="10"/>
        <w:pageBreakBefore w:val="0"/>
        <w:kinsoku/>
        <w:wordWrap/>
        <w:overflowPunct/>
        <w:topLinePunct w:val="0"/>
        <w:bidi w:val="0"/>
        <w:spacing w:after="0" w:line="570" w:lineRule="exact"/>
        <w:ind w:left="17" w:leftChars="8" w:firstLine="640" w:firstLineChars="200"/>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1．其他支出（类）</w:t>
      </w:r>
      <w:r>
        <w:rPr>
          <w:rFonts w:hint="eastAsia" w:ascii="仿宋_GB2312" w:hAnsi="仿宋_GB2312" w:eastAsia="仿宋_GB2312" w:cs="仿宋_GB2312"/>
          <w:sz w:val="32"/>
          <w:szCs w:val="32"/>
          <w:u w:val="none" w:color="auto"/>
          <w:lang w:val="en-US" w:eastAsia="zh-CN"/>
        </w:rPr>
        <w:t>彩票公益金安排的支出</w:t>
      </w:r>
      <w:r>
        <w:rPr>
          <w:rFonts w:hint="eastAsia" w:ascii="仿宋_GB2312" w:hAnsi="仿宋_GB2312" w:eastAsia="仿宋_GB2312" w:cs="仿宋_GB2312"/>
          <w:sz w:val="32"/>
          <w:szCs w:val="32"/>
          <w:u w:val="none" w:color="auto"/>
        </w:rPr>
        <w:t>（款）</w:t>
      </w:r>
      <w:r>
        <w:rPr>
          <w:rFonts w:hint="eastAsia" w:ascii="仿宋_GB2312" w:hAnsi="仿宋_GB2312" w:eastAsia="仿宋_GB2312" w:cs="仿宋_GB2312"/>
          <w:sz w:val="32"/>
          <w:szCs w:val="32"/>
          <w:u w:val="none" w:color="auto"/>
          <w:lang w:val="en-US" w:eastAsia="zh-CN"/>
        </w:rPr>
        <w:t>用于社会福利的彩票公益金支出</w:t>
      </w:r>
      <w:r>
        <w:rPr>
          <w:rFonts w:hint="eastAsia" w:ascii="仿宋_GB2312" w:hAnsi="仿宋_GB2312" w:eastAsia="仿宋_GB2312" w:cs="仿宋_GB2312"/>
          <w:sz w:val="32"/>
          <w:szCs w:val="32"/>
          <w:u w:val="none" w:color="auto"/>
        </w:rPr>
        <w:t>（项）。年初预算</w:t>
      </w:r>
      <w:r>
        <w:rPr>
          <w:rFonts w:hint="eastAsia" w:ascii="仿宋_GB2312" w:hAnsi="仿宋_GB2312" w:eastAsia="仿宋_GB2312" w:cs="仿宋_GB2312"/>
          <w:sz w:val="32"/>
          <w:szCs w:val="32"/>
          <w:u w:val="none" w:color="auto"/>
          <w:lang w:val="en-US" w:eastAsia="zh-CN"/>
        </w:rPr>
        <w:t>898.76</w:t>
      </w:r>
      <w:r>
        <w:rPr>
          <w:rFonts w:hint="eastAsia" w:ascii="仿宋_GB2312" w:hAnsi="仿宋_GB2312" w:eastAsia="仿宋_GB2312" w:cs="仿宋_GB2312"/>
          <w:sz w:val="32"/>
          <w:szCs w:val="32"/>
          <w:u w:val="none" w:color="auto"/>
        </w:rPr>
        <w:t>万元，</w:t>
      </w:r>
      <w:r>
        <w:rPr>
          <w:rFonts w:hint="default" w:ascii="Times New Roman" w:hAnsi="Times New Roman" w:eastAsia="仿宋_GB2312" w:cs="Times New Roman"/>
          <w:sz w:val="32"/>
          <w:szCs w:val="32"/>
          <w:u w:val="none" w:color="auto"/>
        </w:rPr>
        <w:t>主要是用于</w:t>
      </w:r>
      <w:r>
        <w:rPr>
          <w:rFonts w:hint="eastAsia" w:eastAsia="仿宋_GB2312" w:cs="Times New Roman"/>
          <w:sz w:val="32"/>
          <w:szCs w:val="32"/>
          <w:u w:val="none" w:color="auto"/>
          <w:lang w:val="en-US" w:eastAsia="zh-CN"/>
        </w:rPr>
        <w:t>上年结转结余资金</w:t>
      </w:r>
      <w:r>
        <w:rPr>
          <w:rFonts w:hint="default" w:ascii="Times New Roman" w:hAnsi="Times New Roman" w:eastAsia="仿宋_GB2312" w:cs="Times New Roman"/>
          <w:sz w:val="32"/>
          <w:szCs w:val="32"/>
          <w:u w:val="none" w:color="auto"/>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color="auto"/>
        </w:rPr>
      </w:pPr>
      <w:r>
        <w:rPr>
          <w:rFonts w:hint="eastAsia" w:eastAsia="黑体" w:cs="黑体"/>
          <w:b w:val="0"/>
          <w:bCs w:val="0"/>
          <w:sz w:val="32"/>
          <w:szCs w:val="36"/>
          <w:u w:val="none" w:color="auto"/>
        </w:rPr>
        <w:t>九、国有资本经营预算支出预算情况说明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570" w:lineRule="exact"/>
        <w:ind w:firstLine="640" w:firstLineChars="200"/>
        <w:textAlignment w:val="auto"/>
        <w:rPr>
          <w:rFonts w:eastAsia="仿宋_GB2312" w:cstheme="minorBidi"/>
          <w:i/>
          <w:iCs/>
          <w:sz w:val="32"/>
          <w:szCs w:val="32"/>
          <w:u w:val="none" w:color="auto"/>
        </w:rPr>
      </w:pPr>
      <w:r>
        <w:rPr>
          <w:rFonts w:hint="eastAsia" w:ascii="仿宋_GB2312" w:hAnsi="仿宋_GB2312" w:eastAsia="仿宋_GB2312" w:cs="仿宋_GB2312"/>
          <w:i w:val="0"/>
          <w:iCs w:val="0"/>
          <w:sz w:val="32"/>
          <w:szCs w:val="32"/>
          <w:highlight w:val="none"/>
          <w:u w:val="none" w:color="auto"/>
          <w:lang w:val="en-US" w:eastAsia="zh-CN"/>
        </w:rPr>
        <w:t>包头市民政局</w:t>
      </w:r>
      <w:r>
        <w:rPr>
          <w:rFonts w:hint="eastAsia" w:ascii="仿宋_GB2312" w:hAnsi="仿宋_GB2312" w:eastAsia="仿宋_GB2312" w:cs="仿宋_GB2312"/>
          <w:i w:val="0"/>
          <w:iCs w:val="0"/>
          <w:sz w:val="32"/>
          <w:szCs w:val="32"/>
          <w:highlight w:val="none"/>
          <w:u w:val="none" w:color="auto"/>
        </w:rPr>
        <w:t>202</w:t>
      </w:r>
      <w:r>
        <w:rPr>
          <w:rFonts w:hint="eastAsia" w:ascii="仿宋_GB2312" w:hAnsi="仿宋_GB2312" w:eastAsia="仿宋_GB2312" w:cs="仿宋_GB2312"/>
          <w:i w:val="0"/>
          <w:iCs w:val="0"/>
          <w:sz w:val="32"/>
          <w:szCs w:val="32"/>
          <w:highlight w:val="none"/>
          <w:u w:val="none" w:color="auto"/>
          <w:lang w:val="en-US" w:eastAsia="zh-CN"/>
        </w:rPr>
        <w:t>3</w:t>
      </w:r>
      <w:r>
        <w:rPr>
          <w:rFonts w:hint="eastAsia" w:ascii="仿宋_GB2312" w:hAnsi="仿宋_GB2312" w:eastAsia="仿宋_GB2312" w:cs="仿宋_GB2312"/>
          <w:i w:val="0"/>
          <w:iCs w:val="0"/>
          <w:sz w:val="32"/>
          <w:szCs w:val="32"/>
          <w:highlight w:val="none"/>
          <w:u w:val="none" w:color="auto"/>
        </w:rPr>
        <w:t>年国有资本经营预算支出0万元。与上年相比增加0万元，增长0 %。主要原因是本年无国有资本经营预算拨款支出。</w:t>
      </w:r>
    </w:p>
    <w:p>
      <w:pPr>
        <w:pageBreakBefore w:val="0"/>
        <w:kinsoku/>
        <w:wordWrap/>
        <w:overflowPunct/>
        <w:topLinePunct w:val="0"/>
        <w:bidi w:val="0"/>
        <w:spacing w:line="600" w:lineRule="exact"/>
        <w:ind w:firstLine="640" w:firstLineChars="200"/>
        <w:rPr>
          <w:b w:val="0"/>
          <w:bCs w:val="0"/>
          <w:i/>
          <w:iCs/>
          <w:highlight w:val="yellow"/>
          <w:u w:val="none" w:color="auto"/>
        </w:rPr>
      </w:pPr>
      <w:r>
        <w:rPr>
          <w:rFonts w:hint="eastAsia" w:eastAsia="黑体" w:cs="黑体"/>
          <w:b w:val="0"/>
          <w:bCs w:val="0"/>
          <w:sz w:val="32"/>
          <w:szCs w:val="36"/>
          <w:u w:val="none" w:color="auto"/>
        </w:rPr>
        <w:t>十、项目支出预算情况说明</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2024</w:t>
      </w:r>
      <w:r>
        <w:rPr>
          <w:rFonts w:hint="default" w:ascii="Times New Roman" w:hAnsi="Times New Roman" w:eastAsia="仿宋_GB2312" w:cs="Times New Roman"/>
          <w:sz w:val="32"/>
          <w:szCs w:val="32"/>
          <w:u w:val="none" w:color="auto"/>
        </w:rPr>
        <w:t>年单位预算安排项目</w:t>
      </w:r>
      <w:r>
        <w:rPr>
          <w:rFonts w:hint="eastAsia" w:eastAsia="仿宋_GB2312" w:cs="Times New Roman"/>
          <w:sz w:val="32"/>
          <w:szCs w:val="32"/>
          <w:u w:val="none" w:color="auto"/>
          <w:lang w:val="en-US" w:eastAsia="zh-CN"/>
        </w:rPr>
        <w:t>8</w:t>
      </w:r>
      <w:r>
        <w:rPr>
          <w:rFonts w:hint="default" w:ascii="Times New Roman" w:hAnsi="Times New Roman" w:eastAsia="仿宋_GB2312" w:cs="Times New Roman"/>
          <w:sz w:val="32"/>
          <w:szCs w:val="32"/>
          <w:u w:val="none" w:color="auto"/>
        </w:rPr>
        <w:t>个，项目预算总金额</w:t>
      </w:r>
      <w:r>
        <w:rPr>
          <w:rFonts w:hint="eastAsia" w:eastAsia="仿宋_GB2312" w:cs="Times New Roman"/>
          <w:sz w:val="32"/>
          <w:szCs w:val="32"/>
          <w:u w:val="none" w:color="auto"/>
          <w:lang w:val="en-US" w:eastAsia="zh-CN"/>
        </w:rPr>
        <w:t>3445.45</w:t>
      </w:r>
      <w:r>
        <w:rPr>
          <w:rFonts w:hint="default" w:ascii="Times New Roman" w:hAnsi="Times New Roman" w:eastAsia="仿宋_GB2312" w:cs="Times New Roman"/>
          <w:sz w:val="32"/>
          <w:szCs w:val="32"/>
          <w:u w:val="none" w:color="auto"/>
        </w:rPr>
        <w:t>万元。其中，财政本年拨款金额</w:t>
      </w:r>
      <w:r>
        <w:rPr>
          <w:rFonts w:hint="eastAsia" w:eastAsia="仿宋_GB2312" w:cs="Times New Roman"/>
          <w:sz w:val="32"/>
          <w:szCs w:val="32"/>
          <w:u w:val="none" w:color="auto"/>
          <w:lang w:val="en-US" w:eastAsia="zh-CN"/>
        </w:rPr>
        <w:t>2669.28</w:t>
      </w:r>
      <w:r>
        <w:rPr>
          <w:rFonts w:hint="default" w:ascii="Times New Roman" w:hAnsi="Times New Roman" w:eastAsia="仿宋_GB2312" w:cs="Times New Roman"/>
          <w:sz w:val="32"/>
          <w:szCs w:val="32"/>
          <w:u w:val="none" w:color="auto"/>
        </w:rPr>
        <w:t>万元，财政拨款结转结余</w:t>
      </w:r>
      <w:r>
        <w:rPr>
          <w:rFonts w:hint="eastAsia" w:eastAsia="仿宋_GB2312" w:cs="Times New Roman"/>
          <w:sz w:val="32"/>
          <w:szCs w:val="32"/>
          <w:u w:val="none" w:color="auto"/>
          <w:lang w:val="en-US" w:eastAsia="zh-CN"/>
        </w:rPr>
        <w:t>776.18</w:t>
      </w:r>
      <w:r>
        <w:rPr>
          <w:rFonts w:hint="default" w:ascii="Times New Roman" w:hAnsi="Times New Roman" w:eastAsia="仿宋_GB2312" w:cs="Times New Roman"/>
          <w:sz w:val="32"/>
          <w:szCs w:val="32"/>
          <w:u w:val="none" w:color="auto"/>
        </w:rPr>
        <w:t>万元，财政专户管理资金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万元，单位资金</w:t>
      </w:r>
      <w:r>
        <w:rPr>
          <w:rFonts w:hint="eastAsia"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rPr>
        <w:t>万元。</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lang w:eastAsia="zh-CN"/>
        </w:rPr>
        <w:t>（一）停征基本殡葬服务费弥补支出</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1.项目概述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rPr>
        <w:t>本项目主要用于</w:t>
      </w:r>
      <w:r>
        <w:rPr>
          <w:rFonts w:hint="eastAsia" w:ascii="仿宋_GB2312" w:hAnsi="仿宋_GB2312" w:eastAsia="仿宋_GB2312" w:cs="仿宋_GB2312"/>
          <w:bCs/>
          <w:color w:val="auto"/>
          <w:sz w:val="32"/>
          <w:szCs w:val="32"/>
          <w:u w:val="none" w:color="auto"/>
          <w:lang w:eastAsia="zh-CN"/>
        </w:rPr>
        <w:t>停征基本殡葬服务费弥补支出。</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2.立项依据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《包头市人民政府关于停征部分行政事业性收费的通知》（包府发[2014]18号）</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3.实施主体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lang w:eastAsia="zh-CN"/>
        </w:rPr>
        <w:t>包头市</w:t>
      </w:r>
      <w:r>
        <w:rPr>
          <w:rFonts w:hint="eastAsia" w:ascii="仿宋_GB2312" w:hAnsi="仿宋_GB2312" w:eastAsia="仿宋_GB2312" w:cs="仿宋_GB2312"/>
          <w:bCs/>
          <w:color w:val="auto"/>
          <w:sz w:val="32"/>
          <w:szCs w:val="32"/>
          <w:u w:val="none" w:color="auto"/>
          <w:lang w:val="en-US" w:eastAsia="zh-CN"/>
        </w:rPr>
        <w:t>民政局</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4.实施方案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202</w:t>
      </w:r>
      <w:r>
        <w:rPr>
          <w:rFonts w:hint="eastAsia" w:ascii="仿宋_GB2312" w:hAnsi="仿宋_GB2312" w:eastAsia="仿宋_GB2312" w:cs="仿宋_GB2312"/>
          <w:bCs/>
          <w:color w:val="auto"/>
          <w:sz w:val="32"/>
          <w:szCs w:val="32"/>
          <w:u w:val="none" w:color="auto"/>
          <w:lang w:val="en-US" w:eastAsia="zh-CN"/>
        </w:rPr>
        <w:t>3</w:t>
      </w:r>
      <w:r>
        <w:rPr>
          <w:rFonts w:hint="eastAsia" w:ascii="仿宋_GB2312" w:hAnsi="仿宋_GB2312" w:eastAsia="仿宋_GB2312" w:cs="仿宋_GB2312"/>
          <w:bCs/>
          <w:color w:val="auto"/>
          <w:sz w:val="32"/>
          <w:szCs w:val="32"/>
          <w:u w:val="none" w:color="auto"/>
        </w:rPr>
        <w:t>年1至8月市殡仪馆共8221火化具遗体，按此测算全年火化12336具。按照202</w:t>
      </w:r>
      <w:r>
        <w:rPr>
          <w:rFonts w:hint="eastAsia" w:ascii="仿宋_GB2312" w:hAnsi="仿宋_GB2312" w:eastAsia="仿宋_GB2312" w:cs="仿宋_GB2312"/>
          <w:bCs/>
          <w:color w:val="auto"/>
          <w:sz w:val="32"/>
          <w:szCs w:val="32"/>
          <w:u w:val="none" w:color="auto"/>
          <w:lang w:val="en-US" w:eastAsia="zh-CN"/>
        </w:rPr>
        <w:t>3</w:t>
      </w:r>
      <w:r>
        <w:rPr>
          <w:rFonts w:hint="eastAsia" w:ascii="仿宋_GB2312" w:hAnsi="仿宋_GB2312" w:eastAsia="仿宋_GB2312" w:cs="仿宋_GB2312"/>
          <w:bCs/>
          <w:color w:val="auto"/>
          <w:sz w:val="32"/>
          <w:szCs w:val="32"/>
          <w:u w:val="none" w:color="auto"/>
        </w:rPr>
        <w:t xml:space="preserve">年全年预计火化遗体12300具左右测算，所需资金1500元×12300具＝18450000元。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5.实施周期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自202</w:t>
      </w:r>
      <w:r>
        <w:rPr>
          <w:rFonts w:hint="eastAsia" w:ascii="仿宋_GB2312" w:hAnsi="仿宋_GB2312" w:eastAsia="仿宋_GB2312" w:cs="仿宋_GB2312"/>
          <w:bCs/>
          <w:color w:val="auto"/>
          <w:sz w:val="32"/>
          <w:szCs w:val="32"/>
          <w:u w:val="none" w:color="auto"/>
          <w:lang w:val="en-US" w:eastAsia="zh-CN"/>
        </w:rPr>
        <w:t>4</w:t>
      </w:r>
      <w:r>
        <w:rPr>
          <w:rFonts w:hint="eastAsia" w:ascii="仿宋_GB2312" w:hAnsi="仿宋_GB2312" w:eastAsia="仿宋_GB2312" w:cs="仿宋_GB2312"/>
          <w:bCs/>
          <w:color w:val="auto"/>
          <w:sz w:val="32"/>
          <w:szCs w:val="32"/>
          <w:u w:val="none" w:color="auto"/>
        </w:rPr>
        <w:t>年1月1日至202</w:t>
      </w:r>
      <w:r>
        <w:rPr>
          <w:rFonts w:hint="eastAsia" w:ascii="仿宋_GB2312" w:hAnsi="仿宋_GB2312" w:eastAsia="仿宋_GB2312" w:cs="仿宋_GB2312"/>
          <w:bCs/>
          <w:color w:val="auto"/>
          <w:sz w:val="32"/>
          <w:szCs w:val="32"/>
          <w:u w:val="none" w:color="auto"/>
          <w:lang w:val="en-US" w:eastAsia="zh-CN"/>
        </w:rPr>
        <w:t>4</w:t>
      </w:r>
      <w:r>
        <w:rPr>
          <w:rFonts w:hint="eastAsia" w:ascii="仿宋_GB2312" w:hAnsi="仿宋_GB2312" w:eastAsia="仿宋_GB2312" w:cs="仿宋_GB2312"/>
          <w:bCs/>
          <w:color w:val="auto"/>
          <w:sz w:val="32"/>
          <w:szCs w:val="32"/>
          <w:u w:val="none" w:color="auto"/>
        </w:rPr>
        <w:t xml:space="preserve">年12月31日。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 xml:space="preserve">6.年度预算安排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u w:val="none" w:color="auto"/>
        </w:rPr>
        <w:t>202</w:t>
      </w:r>
      <w:r>
        <w:rPr>
          <w:rFonts w:hint="eastAsia" w:ascii="仿宋_GB2312" w:hAnsi="仿宋_GB2312" w:eastAsia="仿宋_GB2312" w:cs="仿宋_GB2312"/>
          <w:bCs/>
          <w:color w:val="auto"/>
          <w:sz w:val="32"/>
          <w:szCs w:val="32"/>
          <w:u w:val="none" w:color="auto"/>
          <w:lang w:val="en-US" w:eastAsia="zh-CN"/>
        </w:rPr>
        <w:t>4</w:t>
      </w:r>
      <w:r>
        <w:rPr>
          <w:rFonts w:hint="eastAsia" w:ascii="仿宋_GB2312" w:hAnsi="仿宋_GB2312" w:eastAsia="仿宋_GB2312" w:cs="仿宋_GB2312"/>
          <w:bCs/>
          <w:color w:val="auto"/>
          <w:sz w:val="32"/>
          <w:szCs w:val="32"/>
          <w:u w:val="none" w:color="auto"/>
        </w:rPr>
        <w:t>年该项目预算</w:t>
      </w:r>
      <w:r>
        <w:rPr>
          <w:rFonts w:hint="eastAsia" w:ascii="仿宋_GB2312" w:hAnsi="仿宋_GB2312" w:eastAsia="仿宋_GB2312" w:cs="仿宋_GB2312"/>
          <w:bCs/>
          <w:color w:val="auto"/>
          <w:sz w:val="32"/>
          <w:szCs w:val="32"/>
          <w:u w:val="none" w:color="auto"/>
          <w:lang w:val="en-US" w:eastAsia="zh-CN"/>
        </w:rPr>
        <w:t>1500万</w:t>
      </w:r>
      <w:r>
        <w:rPr>
          <w:rFonts w:hint="eastAsia" w:ascii="仿宋_GB2312" w:hAnsi="仿宋_GB2312" w:eastAsia="仿宋_GB2312" w:cs="仿宋_GB2312"/>
          <w:bCs/>
          <w:color w:val="auto"/>
          <w:sz w:val="32"/>
          <w:szCs w:val="32"/>
          <w:u w:val="none" w:color="auto"/>
        </w:rPr>
        <w:t>元。</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FF0000"/>
          <w:sz w:val="32"/>
          <w:szCs w:val="32"/>
          <w:u w:val="none" w:color="auto"/>
        </w:rPr>
      </w:pP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val="en-US"/>
        </w:rPr>
      </w:pPr>
      <w:r>
        <w:rPr>
          <w:rFonts w:hint="default" w:ascii="Times New Roman" w:hAnsi="Times New Roman" w:eastAsia="仿宋_GB2312" w:cs="Times New Roman"/>
          <w:bCs/>
          <w:color w:val="auto"/>
          <w:sz w:val="32"/>
          <w:szCs w:val="32"/>
          <w:u w:val="none" w:color="auto"/>
          <w:lang w:eastAsia="zh-CN"/>
        </w:rPr>
        <w:t>（二）</w:t>
      </w:r>
      <w:r>
        <w:rPr>
          <w:rFonts w:hint="eastAsia" w:eastAsia="仿宋_GB2312" w:cs="Times New Roman"/>
          <w:bCs/>
          <w:color w:val="auto"/>
          <w:sz w:val="32"/>
          <w:szCs w:val="32"/>
          <w:u w:val="none" w:color="auto"/>
          <w:lang w:val="en-US" w:eastAsia="zh-CN"/>
        </w:rPr>
        <w:t>困难群众救助补助资金</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 xml:space="preserve">1.项目概述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本项目主要用于困难群众救助补助支出。</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 xml:space="preserve">2.立项依据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城乡低保：包头市人民政府办公室《关于印发包头市最低生活保障对象认定办法的通知》（包府办发〔2021〕121号）</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特困供养：根据《包头市人民政府关于建立城乡统一特困人员救助供养制度的实施意见》（包府发[2017]70号）</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临时救助：《包头市临时救助实施细则》（包府办发〔2015〕186号）、《关于进一步加强和改进临时救助工作的实施意见》（包民发〔2018〕68号）。</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政府购买服务：《关于通过政府购买服务加强基层社会救助经办服务能力的通知》（包民发〔2018〕33号）。</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物价补贴：包头市人民政府办公室《关于印发包头市进一步健全社会救助和保障标准与物价上涨挂钩联动机制的实施方案的通知（包府发[2022]97号）</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包头市民政局</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 xml:space="preserve">4.实施方案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eastAsia" w:ascii="Times New Roman" w:hAnsi="Times New Roman" w:eastAsia="仿宋_GB2312" w:cs="Times New Roman"/>
          <w:bCs/>
          <w:color w:val="auto"/>
          <w:sz w:val="32"/>
          <w:szCs w:val="32"/>
          <w:u w:val="none" w:color="auto"/>
          <w:lang w:val="en-US" w:eastAsia="zh-CN"/>
        </w:rPr>
        <w:t>2024年困难群众救助补助资金6000万，其中预留本级1000万元</w:t>
      </w:r>
      <w:r>
        <w:rPr>
          <w:rFonts w:hint="default" w:ascii="Times New Roman" w:hAnsi="Times New Roman" w:eastAsia="仿宋_GB2312" w:cs="Times New Roman"/>
          <w:bCs/>
          <w:color w:val="auto"/>
          <w:sz w:val="32"/>
          <w:szCs w:val="32"/>
          <w:u w:val="none" w:color="auto"/>
          <w:lang w:eastAsia="zh-CN"/>
        </w:rPr>
        <w:t xml:space="preserve">。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 xml:space="preserve">自2024年1月1日至2024年12月31日。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u w:val="none" w:color="auto"/>
          <w:lang w:eastAsia="zh-CN"/>
        </w:rPr>
      </w:pPr>
      <w:r>
        <w:rPr>
          <w:rFonts w:hint="default" w:ascii="Times New Roman" w:hAnsi="Times New Roman" w:eastAsia="仿宋_GB2312" w:cs="Times New Roman"/>
          <w:bCs/>
          <w:color w:val="auto"/>
          <w:sz w:val="32"/>
          <w:szCs w:val="32"/>
          <w:u w:val="none" w:color="auto"/>
          <w:lang w:eastAsia="zh-CN"/>
        </w:rPr>
        <w:t>2024年该项目预算</w:t>
      </w:r>
      <w:r>
        <w:rPr>
          <w:rFonts w:hint="eastAsia" w:ascii="Times New Roman" w:hAnsi="Times New Roman" w:eastAsia="仿宋_GB2312" w:cs="Times New Roman"/>
          <w:bCs/>
          <w:color w:val="auto"/>
          <w:sz w:val="32"/>
          <w:szCs w:val="32"/>
          <w:u w:val="none" w:color="auto"/>
          <w:lang w:val="en-US" w:eastAsia="zh-CN"/>
        </w:rPr>
        <w:t>1000</w:t>
      </w:r>
      <w:r>
        <w:rPr>
          <w:rFonts w:hint="default" w:ascii="Times New Roman" w:hAnsi="Times New Roman" w:eastAsia="仿宋_GB2312" w:cs="Times New Roman"/>
          <w:bCs/>
          <w:color w:val="auto"/>
          <w:sz w:val="32"/>
          <w:szCs w:val="32"/>
          <w:u w:val="none" w:color="auto"/>
          <w:lang w:eastAsia="zh-CN"/>
        </w:rPr>
        <w:t>万元。</w:t>
      </w:r>
    </w:p>
    <w:p>
      <w:pPr>
        <w:pageBreakBefore w:val="0"/>
        <w:numPr>
          <w:ilvl w:val="0"/>
          <w:numId w:val="4"/>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eastAsia" w:eastAsia="仿宋_GB2312" w:cs="Times New Roman"/>
          <w:bCs/>
          <w:color w:val="auto"/>
          <w:sz w:val="32"/>
          <w:szCs w:val="32"/>
          <w:highlight w:val="none"/>
          <w:u w:val="none" w:color="auto"/>
          <w:lang w:val="en-US" w:eastAsia="zh-CN"/>
        </w:rPr>
        <w:t>殡葬基本服务补助资金</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 xml:space="preserve">1.项目概述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本项目主要用于实施惠民殡葬政策，免除城乡“低保”对象等特殊困难群体的基本殡葬服务费用。</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 xml:space="preserve">2.立项依据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内蒙古自治区民政厅 财政厅关于免除城乡低收入困难群体 重点优抚对象等基本殡葬服务费用的通知</w:t>
      </w:r>
      <w:r>
        <w:rPr>
          <w:rFonts w:hint="eastAsia" w:eastAsia="仿宋_GB2312" w:cs="Times New Roman"/>
          <w:bCs/>
          <w:color w:val="auto"/>
          <w:sz w:val="32"/>
          <w:szCs w:val="32"/>
          <w:highlight w:val="none"/>
          <w:u w:val="none" w:color="auto"/>
          <w:lang w:val="en-US" w:eastAsia="zh-CN"/>
        </w:rPr>
        <w:t>(</w:t>
      </w:r>
      <w:r>
        <w:rPr>
          <w:rFonts w:hint="default" w:ascii="Times New Roman" w:hAnsi="Times New Roman" w:eastAsia="仿宋_GB2312" w:cs="Times New Roman"/>
          <w:bCs/>
          <w:color w:val="auto"/>
          <w:sz w:val="32"/>
          <w:szCs w:val="32"/>
          <w:highlight w:val="none"/>
          <w:u w:val="none" w:color="auto"/>
          <w:lang w:val="en-US" w:eastAsia="zh-CN"/>
        </w:rPr>
        <w:t>内民政社事[2012]349号</w:t>
      </w:r>
      <w:r>
        <w:rPr>
          <w:rFonts w:hint="eastAsia" w:eastAsia="仿宋_GB2312" w:cs="Times New Roman"/>
          <w:bCs/>
          <w:color w:val="auto"/>
          <w:sz w:val="32"/>
          <w:szCs w:val="32"/>
          <w:highlight w:val="none"/>
          <w:u w:val="none" w:color="auto"/>
          <w:lang w:val="en-US" w:eastAsia="zh-CN"/>
        </w:rPr>
        <w:t>)</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包头市民政局</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 xml:space="preserve">4.实施方案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具有我市常住户籍死亡后实施火葬的下列人员：</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1、城乡“低保”对象；</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2、农村“五保”对象；</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3、城镇“三无”人员；</w:t>
      </w:r>
    </w:p>
    <w:p>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auto"/>
          <w:sz w:val="32"/>
          <w:szCs w:val="32"/>
          <w:highlight w:val="none"/>
          <w:u w:val="none" w:color="auto"/>
          <w:lang w:val="en-US" w:eastAsia="zh-CN"/>
        </w:rPr>
      </w:pPr>
      <w:r>
        <w:rPr>
          <w:rFonts w:hint="eastAsia" w:eastAsia="仿宋_GB2312" w:cs="Times New Roman"/>
          <w:bCs/>
          <w:color w:val="auto"/>
          <w:sz w:val="32"/>
          <w:szCs w:val="32"/>
          <w:highlight w:val="none"/>
          <w:u w:val="none" w:color="auto"/>
          <w:lang w:val="en-US" w:eastAsia="zh-CN"/>
        </w:rPr>
        <w:t xml:space="preserve">    </w:t>
      </w:r>
      <w:r>
        <w:rPr>
          <w:rFonts w:hint="default" w:ascii="Times New Roman" w:hAnsi="Times New Roman" w:eastAsia="仿宋_GB2312" w:cs="Times New Roman"/>
          <w:bCs/>
          <w:color w:val="auto"/>
          <w:sz w:val="32"/>
          <w:szCs w:val="32"/>
          <w:highlight w:val="none"/>
          <w:u w:val="none" w:color="auto"/>
          <w:lang w:val="en-US" w:eastAsia="zh-CN"/>
        </w:rPr>
        <w:t>5、县级以上公安机关开具证明允许火化的无名尸体；</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6、县级以上人民政府认定的流浪儿童等其他需要救助的城乡特殊困难群体。</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对于符合条件的上述人员，以下殡仪服务项目免费</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1、普通殡葬专用车遗体接运费；</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2、接送遗体专用袋；</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3、三日内普通冷藏（冻）柜遗体存放费（无名尸除外，但存放期最多不超过60天）；</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4、一般整容费（消毒化妆）；</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5、普通火化设备遗体火化费；</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6、一次性普通纸棺1个（仅限经营此项业务的殡仪馆）；</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7、价值200元以内的骨灰盒1个；</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8、三年内骨灰寄存费。</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 xml:space="preserve">自2024年1月1日至2024年12月31日。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auto"/>
          <w:sz w:val="32"/>
          <w:szCs w:val="32"/>
          <w:highlight w:val="none"/>
          <w:u w:val="none" w:color="auto"/>
        </w:rPr>
      </w:pPr>
      <w:r>
        <w:rPr>
          <w:rFonts w:hint="default" w:ascii="Times New Roman" w:hAnsi="Times New Roman" w:eastAsia="仿宋_GB2312" w:cs="Times New Roman"/>
          <w:bCs/>
          <w:color w:val="auto"/>
          <w:sz w:val="32"/>
          <w:szCs w:val="32"/>
          <w:highlight w:val="none"/>
          <w:u w:val="none" w:color="auto"/>
          <w:lang w:val="en-US" w:eastAsia="zh-CN"/>
        </w:rPr>
        <w:t>2024年该项目预算21万元。</w:t>
      </w:r>
      <w:r>
        <w:rPr>
          <w:rFonts w:hint="default" w:ascii="Times New Roman" w:hAnsi="Times New Roman" w:eastAsia="仿宋_GB2312" w:cs="Times New Roman"/>
          <w:bCs/>
          <w:color w:val="auto"/>
          <w:sz w:val="32"/>
          <w:szCs w:val="32"/>
          <w:highlight w:val="none"/>
          <w:u w:val="none" w:color="auto"/>
        </w:rPr>
        <w:t xml:space="preserve">1.项目概述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（四）自治区级老年人意外伤害险</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1.项目概述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本项目主要用于缴纳2024年度包头市老年人</w:t>
      </w:r>
      <w:bookmarkStart w:id="0" w:name="_GoBack"/>
      <w:bookmarkEnd w:id="0"/>
      <w:r>
        <w:rPr>
          <w:rFonts w:hint="default" w:ascii="Times New Roman" w:hAnsi="Times New Roman" w:eastAsia="仿宋_GB2312" w:cs="Times New Roman"/>
          <w:bCs/>
          <w:color w:val="auto"/>
          <w:sz w:val="32"/>
          <w:szCs w:val="32"/>
          <w:highlight w:val="none"/>
          <w:u w:val="none" w:color="auto"/>
          <w:lang w:eastAsia="zh-CN"/>
        </w:rPr>
        <w:t xml:space="preserve">意外伤害险保费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2.立项依据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为深入贯彻落实《中华人民共和国老年人权益保障法》、全国老龄办等4部委《关于开展老年人意外伤害保险工作的指导意见》（全国老龄办发〔2016〕32号）等政策要求，推进社会养老保障体系建设，提高广大老年人抵御意外风险的能力，弘扬中华民族尊老敬老的传统美德。</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3.实施主体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包头市民政局</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4.实施方案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根据资金下达要求，此项资金专项用于老年人意外伤害保险 。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5.实施周期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自2024年9月1日至2025年8月31日。 </w:t>
      </w:r>
    </w:p>
    <w:p>
      <w:pPr>
        <w:pStyle w:val="2"/>
        <w:rPr>
          <w:rFonts w:hint="default" w:ascii="Times New Roman" w:hAnsi="Times New Roman" w:eastAsia="仿宋_GB2312" w:cs="Times New Roman"/>
          <w:bCs/>
          <w:color w:val="auto"/>
          <w:sz w:val="32"/>
          <w:szCs w:val="32"/>
          <w:highlight w:val="none"/>
          <w:u w:val="none" w:color="auto"/>
          <w:lang w:eastAsia="zh-CN"/>
        </w:rPr>
      </w:pPr>
      <w:r>
        <w:rPr>
          <w:rFonts w:hint="default" w:ascii="Times New Roman" w:hAnsi="Times New Roman" w:eastAsia="仿宋_GB2312" w:cs="Times New Roman"/>
          <w:bCs/>
          <w:color w:val="auto"/>
          <w:sz w:val="32"/>
          <w:szCs w:val="32"/>
          <w:highlight w:val="none"/>
          <w:u w:val="none" w:color="auto"/>
          <w:lang w:eastAsia="zh-CN"/>
        </w:rPr>
        <w:t xml:space="preserve">6.年度预算安排 </w:t>
      </w:r>
    </w:p>
    <w:p>
      <w:pPr>
        <w:pStyle w:val="2"/>
        <w:rPr>
          <w:rFonts w:hint="default"/>
          <w:color w:val="auto"/>
          <w:highlight w:val="none"/>
          <w:u w:val="none" w:color="auto"/>
        </w:rPr>
      </w:pPr>
      <w:r>
        <w:rPr>
          <w:rFonts w:hint="default" w:ascii="Times New Roman" w:hAnsi="Times New Roman" w:eastAsia="仿宋_GB2312" w:cs="Times New Roman"/>
          <w:bCs/>
          <w:color w:val="auto"/>
          <w:sz w:val="32"/>
          <w:szCs w:val="32"/>
          <w:highlight w:val="none"/>
          <w:u w:val="none" w:color="auto"/>
          <w:lang w:eastAsia="zh-CN"/>
        </w:rPr>
        <w:t>2024年该项目预算148.28万元。</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eastAsia="黑体" w:cs="黑体"/>
          <w:b w:val="0"/>
          <w:bCs w:val="0"/>
          <w:sz w:val="32"/>
          <w:szCs w:val="36"/>
          <w:u w:val="none" w:color="auto"/>
        </w:rPr>
      </w:pPr>
      <w:r>
        <w:rPr>
          <w:rFonts w:hint="eastAsia" w:ascii="黑体" w:hAnsi="黑体" w:eastAsia="黑体" w:cs="黑体"/>
          <w:b w:val="0"/>
          <w:bCs/>
          <w:i w:val="0"/>
          <w:iCs w:val="0"/>
          <w:color w:val="000000" w:themeColor="text1"/>
          <w:sz w:val="32"/>
          <w:szCs w:val="32"/>
          <w:highlight w:val="none"/>
          <w:u w:val="none" w:color="auto"/>
          <w:lang w:val="en-US" w:eastAsia="zh-CN"/>
          <w14:textFill>
            <w14:solidFill>
              <w14:schemeClr w14:val="tx1"/>
            </w14:solidFill>
          </w14:textFill>
        </w:rPr>
        <w:t xml:space="preserve"> 十一、</w:t>
      </w:r>
      <w:r>
        <w:rPr>
          <w:rFonts w:hint="eastAsia" w:eastAsia="黑体" w:cs="黑体"/>
          <w:b w:val="0"/>
          <w:bCs w:val="0"/>
          <w:sz w:val="32"/>
          <w:szCs w:val="36"/>
          <w:u w:val="none" w:color="auto"/>
        </w:rPr>
        <w:t>一般公共预算机关运行经费支出预算情况说明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color="auto"/>
        </w:rPr>
      </w:pPr>
      <w:r>
        <w:rPr>
          <w:rFonts w:hint="eastAsia" w:eastAsia="仿宋_GB2312" w:cs="Times New Roman"/>
          <w:sz w:val="32"/>
          <w:szCs w:val="32"/>
          <w:u w:val="none" w:color="auto"/>
          <w:lang w:val="en-US" w:eastAsia="zh-CN"/>
        </w:rPr>
        <w:t>2024</w:t>
      </w:r>
      <w:r>
        <w:rPr>
          <w:rFonts w:hint="default" w:ascii="Times New Roman" w:hAnsi="Times New Roman" w:eastAsia="仿宋_GB2312" w:cs="Times New Roman"/>
          <w:sz w:val="32"/>
          <w:szCs w:val="32"/>
          <w:u w:val="none" w:color="auto"/>
        </w:rPr>
        <w:t>年</w:t>
      </w:r>
      <w:r>
        <w:rPr>
          <w:rFonts w:hint="eastAsia" w:eastAsia="仿宋_GB2312" w:cs="Times New Roman"/>
          <w:sz w:val="32"/>
          <w:szCs w:val="32"/>
          <w:u w:val="none" w:color="auto"/>
          <w:lang w:val="en-US" w:eastAsia="zh-CN"/>
        </w:rPr>
        <w:t>包头市民政局</w:t>
      </w:r>
      <w:r>
        <w:rPr>
          <w:rFonts w:hint="default" w:ascii="Times New Roman" w:hAnsi="Times New Roman" w:eastAsia="仿宋_GB2312" w:cs="Times New Roman"/>
          <w:sz w:val="32"/>
          <w:szCs w:val="32"/>
          <w:u w:val="none" w:color="auto"/>
        </w:rPr>
        <w:t>一般公共预算机关运行经费预算支出</w:t>
      </w:r>
      <w:r>
        <w:rPr>
          <w:rFonts w:hint="eastAsia" w:eastAsia="仿宋_GB2312" w:cs="Times New Roman"/>
          <w:sz w:val="32"/>
          <w:szCs w:val="32"/>
          <w:u w:val="none" w:color="auto"/>
          <w:lang w:val="en-US" w:eastAsia="zh-CN"/>
        </w:rPr>
        <w:t>17.46</w:t>
      </w:r>
      <w:r>
        <w:rPr>
          <w:rFonts w:hint="default" w:ascii="Times New Roman" w:hAnsi="Times New Roman" w:eastAsia="仿宋_GB2312" w:cs="Times New Roman"/>
          <w:sz w:val="32"/>
          <w:szCs w:val="32"/>
          <w:u w:val="none" w:color="auto"/>
        </w:rPr>
        <w:t>万元，主要包括以下支出：</w:t>
      </w:r>
      <w:r>
        <w:rPr>
          <w:rFonts w:hint="eastAsia" w:ascii="仿宋" w:hAnsi="仿宋" w:eastAsia="仿宋" w:cs="仿宋"/>
          <w:color w:val="000000"/>
          <w:kern w:val="0"/>
          <w:sz w:val="31"/>
          <w:szCs w:val="31"/>
          <w:u w:val="none" w:color="auto"/>
          <w:lang w:val="en-US" w:eastAsia="zh-CN" w:bidi="ar"/>
        </w:rPr>
        <w:t>办公费9.45 万元、差旅费 3 万元、会议费1万元、培训费1万元、公务接待费0.70万元、其他商品和服务支出 2.31 万元。</w:t>
      </w:r>
      <w:r>
        <w:rPr>
          <w:rFonts w:hint="default" w:ascii="Times New Roman" w:hAnsi="Times New Roman" w:eastAsia="仿宋_GB2312" w:cs="Times New Roman"/>
          <w:color w:val="000000" w:themeColor="text1"/>
          <w:sz w:val="32"/>
          <w:szCs w:val="32"/>
          <w:u w:val="none" w:color="auto"/>
          <w14:textFill>
            <w14:solidFill>
              <w14:schemeClr w14:val="tx1"/>
            </w14:solidFill>
          </w14:textFill>
        </w:rPr>
        <w:t>与</w:t>
      </w:r>
      <w:r>
        <w:rPr>
          <w:rFonts w:hint="default" w:ascii="Times New Roman" w:hAnsi="Times New Roman" w:eastAsia="仿宋_GB2312" w:cs="Times New Roman"/>
          <w:sz w:val="32"/>
          <w:szCs w:val="32"/>
          <w:u w:val="none" w:color="auto"/>
        </w:rPr>
        <w:t>上年相比增加</w:t>
      </w:r>
      <w:r>
        <w:rPr>
          <w:rFonts w:hint="eastAsia" w:eastAsia="仿宋_GB2312" w:cs="Times New Roman"/>
          <w:sz w:val="32"/>
          <w:szCs w:val="32"/>
          <w:u w:val="none" w:color="auto"/>
          <w:lang w:val="en-US" w:eastAsia="zh-CN"/>
        </w:rPr>
        <w:t>1.74</w:t>
      </w:r>
      <w:r>
        <w:rPr>
          <w:rFonts w:hint="default" w:ascii="Times New Roman" w:hAnsi="Times New Roman" w:eastAsia="仿宋_GB2312" w:cs="Times New Roman"/>
          <w:sz w:val="32"/>
          <w:szCs w:val="32"/>
          <w:u w:val="none" w:color="auto"/>
        </w:rPr>
        <w:t>万元，增长</w:t>
      </w:r>
      <w:r>
        <w:rPr>
          <w:rFonts w:hint="eastAsia" w:eastAsia="仿宋_GB2312" w:cs="Times New Roman"/>
          <w:sz w:val="32"/>
          <w:szCs w:val="32"/>
          <w:u w:val="none" w:color="auto"/>
          <w:lang w:val="en-US" w:eastAsia="zh-CN"/>
        </w:rPr>
        <w:t>11.07</w:t>
      </w:r>
      <w:r>
        <w:rPr>
          <w:rFonts w:hint="default" w:ascii="Times New Roman" w:hAnsi="Times New Roman" w:eastAsia="仿宋_GB2312" w:cs="Times New Roman"/>
          <w:sz w:val="32"/>
          <w:szCs w:val="32"/>
          <w:u w:val="none" w:color="auto"/>
        </w:rPr>
        <w:t>%。主要原因是：</w:t>
      </w:r>
      <w:r>
        <w:rPr>
          <w:rFonts w:hint="eastAsia" w:eastAsia="仿宋_GB2312" w:cs="Times New Roman"/>
          <w:sz w:val="32"/>
          <w:szCs w:val="32"/>
          <w:u w:val="none" w:color="auto"/>
          <w:lang w:val="en-US" w:eastAsia="zh-CN"/>
        </w:rPr>
        <w:t>单位新考录人员，公用经费增加</w:t>
      </w:r>
      <w:r>
        <w:rPr>
          <w:rFonts w:hint="default" w:ascii="Times New Roman" w:hAnsi="Times New Roman" w:eastAsia="仿宋_GB2312" w:cs="Times New Roman"/>
          <w:sz w:val="32"/>
          <w:szCs w:val="32"/>
          <w:u w:val="none" w:color="auto"/>
        </w:rPr>
        <w:t>。</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val="none" w:color="auto"/>
        </w:rPr>
      </w:pPr>
      <w:r>
        <w:rPr>
          <w:rFonts w:hint="eastAsia" w:eastAsia="黑体" w:cs="黑体"/>
          <w:b w:val="0"/>
          <w:bCs w:val="0"/>
          <w:sz w:val="32"/>
          <w:szCs w:val="36"/>
          <w:u w:val="none" w:color="auto"/>
          <w:lang w:val="en-US" w:eastAsia="zh-CN"/>
        </w:rPr>
        <w:t xml:space="preserve">    十二、</w:t>
      </w:r>
      <w:r>
        <w:rPr>
          <w:rFonts w:hint="eastAsia" w:eastAsia="黑体" w:cs="黑体"/>
          <w:b w:val="0"/>
          <w:bCs w:val="0"/>
          <w:sz w:val="32"/>
          <w:szCs w:val="36"/>
          <w:u w:val="none" w:color="auto"/>
        </w:rPr>
        <w:t>政府采购支出预算情况说明</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default" w:ascii="Times New Roman" w:hAnsi="Times New Roman" w:eastAsia="仿宋_GB2312" w:cs="Times New Roman"/>
          <w:color w:val="FF0000"/>
          <w:sz w:val="32"/>
          <w:szCs w:val="32"/>
          <w:u w:val="none" w:color="auto"/>
        </w:rPr>
      </w:pPr>
      <w:r>
        <w:rPr>
          <w:rFonts w:hint="eastAsia" w:ascii="仿宋_GB2312" w:hAnsi="仿宋_GB2312" w:eastAsia="仿宋_GB2312" w:cs="仿宋_GB2312"/>
          <w:color w:val="auto"/>
          <w:sz w:val="32"/>
          <w:szCs w:val="32"/>
          <w:u w:val="none" w:color="auto"/>
          <w:lang w:val="en-US" w:eastAsia="zh-CN"/>
        </w:rPr>
        <w:t>2024</w:t>
      </w:r>
      <w:r>
        <w:rPr>
          <w:rFonts w:hint="eastAsia" w:ascii="仿宋_GB2312" w:hAnsi="仿宋_GB2312" w:eastAsia="仿宋_GB2312" w:cs="仿宋_GB2312"/>
          <w:color w:val="auto"/>
          <w:sz w:val="32"/>
          <w:szCs w:val="32"/>
          <w:u w:val="none" w:color="auto"/>
        </w:rPr>
        <w:t>年度政府采购支出预算总额</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万元，其中：拟采购货物支出</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万元、拟采购工程支出</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万元、拟购买服务支出</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万元。</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color="auto"/>
        </w:rPr>
      </w:pPr>
      <w:r>
        <w:rPr>
          <w:rFonts w:hint="eastAsia" w:eastAsia="黑体" w:cs="黑体"/>
          <w:b w:val="0"/>
          <w:bCs w:val="0"/>
          <w:sz w:val="32"/>
          <w:szCs w:val="36"/>
          <w:u w:val="none" w:color="auto"/>
          <w:lang w:val="en-US" w:eastAsia="zh-CN"/>
        </w:rPr>
        <w:t xml:space="preserve">    </w:t>
      </w:r>
      <w:r>
        <w:rPr>
          <w:rFonts w:hint="eastAsia" w:eastAsia="黑体" w:cs="黑体"/>
          <w:b w:val="0"/>
          <w:bCs w:val="0"/>
          <w:sz w:val="32"/>
          <w:szCs w:val="36"/>
          <w:u w:val="none" w:color="auto"/>
          <w:lang w:eastAsia="zh-CN"/>
        </w:rPr>
        <w:t>十三、</w:t>
      </w:r>
      <w:r>
        <w:rPr>
          <w:rFonts w:hint="eastAsia" w:eastAsia="黑体" w:cs="黑体"/>
          <w:b w:val="0"/>
          <w:bCs w:val="0"/>
          <w:sz w:val="32"/>
          <w:szCs w:val="36"/>
          <w:u w:val="none" w:color="auto"/>
        </w:rPr>
        <w:t>国有资产占用情况说明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color="auto"/>
        </w:rPr>
      </w:pPr>
      <w:r>
        <w:rPr>
          <w:rFonts w:hint="eastAsia" w:ascii="仿宋_GB2312" w:hAnsi="仿宋_GB2312" w:eastAsia="仿宋_GB2312" w:cs="仿宋_GB2312"/>
          <w:color w:val="auto"/>
          <w:sz w:val="32"/>
          <w:szCs w:val="32"/>
          <w:u w:val="none" w:color="auto"/>
        </w:rPr>
        <w:t>本</w:t>
      </w:r>
      <w:r>
        <w:rPr>
          <w:rFonts w:hint="eastAsia" w:ascii="仿宋_GB2312" w:hAnsi="仿宋_GB2312" w:eastAsia="仿宋_GB2312" w:cs="仿宋_GB2312"/>
          <w:color w:val="auto"/>
          <w:sz w:val="32"/>
          <w:szCs w:val="32"/>
          <w:u w:val="none" w:color="auto"/>
          <w:lang w:val="en-US" w:eastAsia="zh-CN"/>
        </w:rPr>
        <w:t>单位</w:t>
      </w:r>
      <w:r>
        <w:rPr>
          <w:rFonts w:hint="eastAsia" w:ascii="仿宋_GB2312" w:hAnsi="仿宋_GB2312" w:eastAsia="仿宋_GB2312" w:cs="仿宋_GB2312"/>
          <w:color w:val="auto"/>
          <w:sz w:val="32"/>
          <w:szCs w:val="32"/>
          <w:u w:val="none" w:color="auto"/>
        </w:rPr>
        <w:t>共有车辆</w:t>
      </w:r>
      <w:r>
        <w:rPr>
          <w:rFonts w:hint="eastAsia" w:ascii="仿宋_GB2312" w:hAnsi="仿宋_GB2312" w:eastAsia="仿宋_GB2312" w:cs="仿宋_GB2312"/>
          <w:color w:val="auto"/>
          <w:sz w:val="32"/>
          <w:szCs w:val="32"/>
          <w:u w:val="none" w:color="auto"/>
          <w:lang w:val="en-US" w:eastAsia="zh-CN"/>
        </w:rPr>
        <w:t>1</w:t>
      </w:r>
      <w:r>
        <w:rPr>
          <w:rFonts w:hint="eastAsia" w:ascii="仿宋_GB2312" w:hAnsi="仿宋_GB2312" w:eastAsia="仿宋_GB2312" w:cs="仿宋_GB2312"/>
          <w:color w:val="auto"/>
          <w:sz w:val="32"/>
          <w:szCs w:val="32"/>
          <w:u w:val="none" w:color="auto"/>
        </w:rPr>
        <w:t>辆，其中，一般公务用车</w:t>
      </w:r>
      <w:r>
        <w:rPr>
          <w:rFonts w:hint="eastAsia" w:ascii="仿宋_GB2312" w:hAnsi="仿宋_GB2312" w:eastAsia="仿宋_GB2312" w:cs="仿宋_GB2312"/>
          <w:color w:val="auto"/>
          <w:sz w:val="32"/>
          <w:szCs w:val="32"/>
          <w:u w:val="none" w:color="auto"/>
          <w:lang w:val="en-US" w:eastAsia="zh-CN"/>
        </w:rPr>
        <w:t>1</w:t>
      </w:r>
      <w:r>
        <w:rPr>
          <w:rFonts w:hint="eastAsia" w:ascii="仿宋_GB2312" w:hAnsi="仿宋_GB2312" w:eastAsia="仿宋_GB2312" w:cs="仿宋_GB2312"/>
          <w:color w:val="auto"/>
          <w:sz w:val="32"/>
          <w:szCs w:val="32"/>
          <w:u w:val="none" w:color="auto"/>
        </w:rPr>
        <w:t>辆、执法执勤用车</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辆、特种专业技术用车</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辆、业务用车</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辆、其他用车</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辆等。单价50万元（含）以上的通用设备</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台（套），单价100万元（含）以上的专用设备</w:t>
      </w:r>
      <w:r>
        <w:rPr>
          <w:rFonts w:hint="eastAsia" w:ascii="仿宋_GB2312" w:hAnsi="仿宋_GB2312" w:eastAsia="仿宋_GB2312" w:cs="仿宋_GB2312"/>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台（套）。</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color="auto"/>
        </w:rPr>
      </w:pPr>
      <w:r>
        <w:rPr>
          <w:rFonts w:hint="eastAsia" w:eastAsia="黑体" w:cs="黑体"/>
          <w:b w:val="0"/>
          <w:bCs w:val="0"/>
          <w:sz w:val="32"/>
          <w:szCs w:val="36"/>
          <w:u w:val="none" w:color="auto"/>
          <w:lang w:val="en-US" w:eastAsia="zh-CN"/>
        </w:rPr>
        <w:t xml:space="preserve">    </w:t>
      </w:r>
      <w:r>
        <w:rPr>
          <w:rFonts w:hint="eastAsia" w:eastAsia="黑体" w:cs="黑体"/>
          <w:b w:val="0"/>
          <w:bCs w:val="0"/>
          <w:sz w:val="32"/>
          <w:szCs w:val="36"/>
          <w:u w:val="none" w:color="auto"/>
          <w:lang w:eastAsia="zh-CN"/>
        </w:rPr>
        <w:t>十四、</w:t>
      </w:r>
      <w:r>
        <w:rPr>
          <w:rFonts w:hint="eastAsia" w:eastAsia="黑体" w:cs="黑体"/>
          <w:b w:val="0"/>
          <w:bCs w:val="0"/>
          <w:sz w:val="32"/>
          <w:szCs w:val="36"/>
          <w:u w:val="none" w:color="auto"/>
        </w:rPr>
        <w:t>项目绩效目标情况说明</w:t>
      </w:r>
      <w:r>
        <w:rPr>
          <w:rFonts w:hint="eastAsia" w:eastAsia="黑体" w:cs="黑体"/>
          <w:b/>
          <w:bCs/>
          <w:sz w:val="32"/>
          <w:szCs w:val="36"/>
          <w:u w:val="none" w:color="auto"/>
        </w:rPr>
        <w:t xml:space="preserve"> </w:t>
      </w:r>
    </w:p>
    <w:p>
      <w:pPr>
        <w:pageBreakBefore w:val="0"/>
        <w:numPr>
          <w:ilvl w:val="0"/>
          <w:numId w:val="0"/>
        </w:numPr>
        <w:pBdr>
          <w:bottom w:val="single" w:color="FFFFFF" w:sz="4" w:space="30"/>
        </w:pBdr>
        <w:kinsoku/>
        <w:wordWrap/>
        <w:overflowPunct/>
        <w:topLinePunct w:val="0"/>
        <w:bidi w:val="0"/>
        <w:snapToGrid w:val="0"/>
        <w:spacing w:line="570" w:lineRule="exact"/>
        <w:rPr>
          <w:rFonts w:hint="eastAsia" w:ascii="方正小标宋简体" w:hAnsi="方正小标宋简体" w:eastAsia="方正小标宋简体" w:cs="方正小标宋简体"/>
          <w:sz w:val="36"/>
          <w:szCs w:val="36"/>
          <w:u w:val="none" w:color="auto"/>
        </w:rPr>
      </w:pPr>
      <w:r>
        <w:rPr>
          <w:rFonts w:hint="eastAsia" w:eastAsia="黑体" w:cs="黑体"/>
          <w:b/>
          <w:bCs/>
          <w:sz w:val="32"/>
          <w:szCs w:val="36"/>
          <w:u w:val="non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2024</w:t>
      </w:r>
      <w:r>
        <w:rPr>
          <w:rFonts w:hint="eastAsia" w:ascii="仿宋_GB2312" w:hAnsi="仿宋_GB2312" w:eastAsia="仿宋_GB2312" w:cs="仿宋_GB2312"/>
          <w:color w:val="auto"/>
          <w:sz w:val="32"/>
          <w:szCs w:val="32"/>
          <w:u w:val="none" w:color="auto"/>
        </w:rPr>
        <w:t>年，填报绩效目标的预算项目</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个，公开绩效目标</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个，公开项目占全部预算项目的100 %。公开填报绩效目标的项目预算</w:t>
      </w:r>
      <w:r>
        <w:rPr>
          <w:rFonts w:hint="eastAsia" w:ascii="仿宋_GB2312" w:hAnsi="仿宋_GB2312" w:eastAsia="仿宋_GB2312" w:cs="仿宋_GB2312"/>
          <w:color w:val="auto"/>
          <w:sz w:val="32"/>
          <w:szCs w:val="32"/>
          <w:u w:val="none" w:color="auto"/>
          <w:lang w:val="en-US" w:eastAsia="zh-CN"/>
        </w:rPr>
        <w:t>2,669.28</w:t>
      </w:r>
      <w:r>
        <w:rPr>
          <w:rFonts w:hint="eastAsia" w:ascii="仿宋_GB2312" w:hAnsi="仿宋_GB2312" w:eastAsia="仿宋_GB2312" w:cs="仿宋_GB2312"/>
          <w:color w:val="auto"/>
          <w:sz w:val="32"/>
          <w:szCs w:val="32"/>
          <w:u w:val="none" w:color="auto"/>
        </w:rPr>
        <w:t>万元，占全部项目预算的100%。</w:t>
      </w:r>
    </w:p>
    <w:p>
      <w:pPr>
        <w:pStyle w:val="7"/>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第三部分   名词解释</w:t>
      </w:r>
    </w:p>
    <w:p>
      <w:pPr>
        <w:rPr>
          <w:sz w:val="36"/>
          <w:szCs w:val="36"/>
          <w:u w:val="none" w:color="auto"/>
        </w:rPr>
      </w:pP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一、财政拨款：</w:t>
      </w:r>
      <w:r>
        <w:rPr>
          <w:rFonts w:hint="eastAsia" w:eastAsia="仿宋_GB2312" w:cstheme="minorBidi"/>
          <w:sz w:val="32"/>
          <w:szCs w:val="32"/>
          <w:u w:val="none" w:color="auto"/>
        </w:rPr>
        <w:t>部门/单位从同级财政部门取得的各类财政拨款，包括一般公共预算拨款、政府性基金预算拨款、国有资本经营预算拨款。</w:t>
      </w:r>
    </w:p>
    <w:p>
      <w:pPr>
        <w:pageBreakBefore w:val="0"/>
        <w:kinsoku/>
        <w:wordWrap/>
        <w:overflowPunct/>
        <w:topLinePunct w:val="0"/>
        <w:bidi w:val="0"/>
        <w:spacing w:line="600" w:lineRule="exact"/>
        <w:ind w:firstLine="643" w:firstLineChars="200"/>
        <w:rPr>
          <w:u w:val="none" w:color="auto"/>
        </w:rPr>
      </w:pPr>
      <w:r>
        <w:rPr>
          <w:rFonts w:hint="eastAsia" w:eastAsia="仿宋_GB2312" w:cstheme="minorBidi"/>
          <w:b/>
          <w:bCs/>
          <w:sz w:val="32"/>
          <w:szCs w:val="32"/>
          <w:u w:val="none" w:color="auto"/>
        </w:rPr>
        <w:t>二、一般公共预算拨款收入：</w:t>
      </w:r>
      <w:r>
        <w:rPr>
          <w:rFonts w:hint="eastAsia" w:ascii="仿宋" w:hAnsi="仿宋" w:eastAsia="仿宋" w:cs="仿宋"/>
          <w:bCs/>
          <w:sz w:val="30"/>
          <w:szCs w:val="30"/>
          <w:u w:val="none" w:color="auto"/>
        </w:rPr>
        <w:t>指市级财政当年拨付的资金。</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三、财政专户管理资金：</w:t>
      </w:r>
      <w:r>
        <w:rPr>
          <w:rFonts w:hint="eastAsia" w:eastAsia="仿宋_GB2312" w:cstheme="minorBidi"/>
          <w:sz w:val="32"/>
          <w:szCs w:val="32"/>
          <w:u w:val="none" w:color="auto"/>
        </w:rPr>
        <w:t>缴入财政专户、实行专项管理的高中以上学费、住宿费、高校委托培养费、函大、电大、夜大及短训班培训费等教育收费。</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四、单位资金：</w:t>
      </w:r>
      <w:r>
        <w:rPr>
          <w:rFonts w:hint="eastAsia" w:eastAsia="仿宋_GB2312" w:cstheme="minorBidi"/>
          <w:sz w:val="32"/>
          <w:szCs w:val="32"/>
          <w:u w:val="none" w:color="auto"/>
        </w:rPr>
        <w:t>除财政拨款收入和财政专户管理资金以外的收入，包括事业收入（不含教育收费）、上级补助收入、附属单位上缴收入、事业单位经营收入及其他收入（包含债务收入、投资收益等）。</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五、基本支出：</w:t>
      </w:r>
      <w:r>
        <w:rPr>
          <w:rFonts w:hint="eastAsia" w:eastAsia="仿宋_GB2312" w:cstheme="minorBidi"/>
          <w:sz w:val="32"/>
          <w:szCs w:val="32"/>
          <w:u w:val="none" w:color="auto"/>
        </w:rPr>
        <w:t>指为保障机构正常运转、完成工作任务而发生的人员支出和公用支出。</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六、项目支出：</w:t>
      </w:r>
      <w:r>
        <w:rPr>
          <w:rFonts w:hint="eastAsia" w:eastAsia="仿宋_GB2312" w:cstheme="minorBidi"/>
          <w:sz w:val="32"/>
          <w:szCs w:val="32"/>
          <w:u w:val="none" w:color="auto"/>
        </w:rPr>
        <w:t>指在基本支出之外为完成特定工作任务和事业发展目标所发生的支出。</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七、对个人和家庭的补助：</w:t>
      </w:r>
      <w:r>
        <w:rPr>
          <w:rFonts w:hint="eastAsia" w:eastAsia="仿宋_GB2312" w:cstheme="minorBidi"/>
          <w:sz w:val="32"/>
          <w:szCs w:val="32"/>
          <w:u w:val="none" w:color="auto"/>
        </w:rPr>
        <w:t>是指政府用于对个人和家庭的补助支出。</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八、“三公”经费：</w:t>
      </w:r>
      <w:r>
        <w:rPr>
          <w:rFonts w:hint="eastAsia" w:eastAsia="仿宋_GB2312" w:cstheme="minorBidi"/>
          <w:sz w:val="32"/>
          <w:szCs w:val="32"/>
          <w:u w:val="none" w:color="auto"/>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pageBreakBefore w:val="0"/>
        <w:kinsoku/>
        <w:wordWrap/>
        <w:overflowPunct/>
        <w:topLinePunct w:val="0"/>
        <w:bidi w:val="0"/>
        <w:spacing w:line="600" w:lineRule="exact"/>
        <w:ind w:firstLine="643" w:firstLineChars="200"/>
        <w:rPr>
          <w:rFonts w:eastAsia="仿宋_GB2312" w:cstheme="minorBidi"/>
          <w:sz w:val="32"/>
          <w:szCs w:val="32"/>
          <w:u w:val="none" w:color="auto"/>
        </w:rPr>
      </w:pPr>
      <w:r>
        <w:rPr>
          <w:rFonts w:hint="eastAsia" w:eastAsia="仿宋_GB2312" w:cstheme="minorBidi"/>
          <w:b/>
          <w:bCs/>
          <w:sz w:val="32"/>
          <w:szCs w:val="32"/>
          <w:u w:val="none" w:color="auto"/>
        </w:rPr>
        <w:t>九、机关运行经费：</w:t>
      </w:r>
      <w:r>
        <w:rPr>
          <w:rFonts w:hint="eastAsia" w:eastAsia="仿宋_GB2312" w:cstheme="minorBidi"/>
          <w:sz w:val="32"/>
          <w:szCs w:val="32"/>
          <w:u w:val="none" w:color="auto"/>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u w:val="none" w:color="auto"/>
        </w:rPr>
      </w:pPr>
    </w:p>
    <w:p>
      <w:pPr>
        <w:pStyle w:val="2"/>
        <w:rPr>
          <w:rFonts w:hint="eastAsia" w:ascii="方正小标宋简体" w:hAnsi="方正小标宋简体" w:eastAsia="方正小标宋简体" w:cs="方正小标宋简体"/>
          <w:b w:val="0"/>
          <w:bCs w:val="0"/>
          <w:sz w:val="36"/>
          <w:szCs w:val="36"/>
          <w:u w:val="none" w:color="auto"/>
        </w:rPr>
      </w:pPr>
    </w:p>
    <w:p>
      <w:pPr>
        <w:pStyle w:val="2"/>
        <w:rPr>
          <w:rFonts w:hint="eastAsia" w:ascii="方正小标宋简体" w:hAnsi="方正小标宋简体" w:eastAsia="方正小标宋简体" w:cs="方正小标宋简体"/>
          <w:b w:val="0"/>
          <w:bCs w:val="0"/>
          <w:sz w:val="36"/>
          <w:szCs w:val="36"/>
          <w:u w:val="none" w:color="auto"/>
        </w:rPr>
      </w:pPr>
    </w:p>
    <w:p>
      <w:pPr>
        <w:pStyle w:val="2"/>
        <w:rPr>
          <w:rFonts w:hint="eastAsia" w:ascii="方正小标宋简体" w:hAnsi="方正小标宋简体" w:eastAsia="方正小标宋简体" w:cs="方正小标宋简体"/>
          <w:b w:val="0"/>
          <w:bCs w:val="0"/>
          <w:sz w:val="36"/>
          <w:szCs w:val="36"/>
          <w:u w:val="none" w:color="auto"/>
        </w:rPr>
      </w:pPr>
    </w:p>
    <w:p>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第四部分</w:t>
      </w:r>
      <w:r>
        <w:rPr>
          <w:rFonts w:hint="eastAsia" w:ascii="仿宋" w:hAnsi="仿宋" w:eastAsia="仿宋" w:cs="仿宋"/>
          <w:b w:val="0"/>
          <w:bCs w:val="0"/>
          <w:sz w:val="36"/>
          <w:szCs w:val="36"/>
          <w:u w:val="none" w:color="auto"/>
        </w:rPr>
        <w:t xml:space="preserve"> </w:t>
      </w:r>
      <w:r>
        <w:rPr>
          <w:rFonts w:hint="eastAsia" w:ascii="方正小标宋简体" w:hAnsi="方正小标宋简体" w:eastAsia="方正小标宋简体" w:cs="方正小标宋简体"/>
          <w:b w:val="0"/>
          <w:bCs w:val="0"/>
          <w:sz w:val="36"/>
          <w:szCs w:val="36"/>
          <w:u w:val="none" w:color="auto"/>
        </w:rPr>
        <w:t>预算公开联系方式及信息反馈渠道</w:t>
      </w:r>
    </w:p>
    <w:p>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color="auto"/>
        </w:rPr>
      </w:pPr>
    </w:p>
    <w:p>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本单位预算公开信息反馈和联系方式：</w:t>
      </w:r>
    </w:p>
    <w:p>
      <w:pPr>
        <w:pageBreakBefore w:val="0"/>
        <w:kinsoku/>
        <w:wordWrap/>
        <w:overflowPunct/>
        <w:topLinePunct w:val="0"/>
        <w:bidi w:val="0"/>
        <w:snapToGrid w:val="0"/>
        <w:spacing w:line="600" w:lineRule="exact"/>
        <w:ind w:firstLine="640" w:firstLineChars="200"/>
        <w:rPr>
          <w:rFonts w:eastAsia="仿宋_GB2312" w:cstheme="minorBidi"/>
          <w:sz w:val="30"/>
          <w:szCs w:val="30"/>
          <w:u w:val="none" w:color="auto"/>
        </w:rPr>
      </w:pPr>
      <w:r>
        <w:rPr>
          <w:rFonts w:hint="eastAsia" w:ascii="仿宋_GB2312" w:hAnsi="仿宋_GB2312" w:eastAsia="仿宋_GB2312" w:cs="仿宋_GB2312"/>
          <w:sz w:val="32"/>
          <w:szCs w:val="32"/>
          <w:u w:val="none" w:color="auto"/>
        </w:rPr>
        <w:t>联系人：</w:t>
      </w:r>
      <w:r>
        <w:rPr>
          <w:rFonts w:hint="eastAsia" w:ascii="仿宋_GB2312" w:hAnsi="仿宋_GB2312" w:eastAsia="仿宋_GB2312" w:cs="仿宋_GB2312"/>
          <w:sz w:val="32"/>
          <w:szCs w:val="32"/>
          <w:u w:val="none" w:color="auto"/>
          <w:lang w:val="en-US" w:eastAsia="zh-CN"/>
        </w:rPr>
        <w:t>刘畅</w:t>
      </w:r>
      <w:r>
        <w:rPr>
          <w:rFonts w:hint="eastAsia" w:ascii="仿宋_GB2312" w:hAnsi="仿宋_GB2312" w:eastAsia="仿宋_GB2312" w:cs="仿宋_GB2312"/>
          <w:sz w:val="32"/>
          <w:szCs w:val="32"/>
          <w:u w:val="none" w:color="auto"/>
        </w:rPr>
        <w:t xml:space="preserve">               联系电话：</w:t>
      </w:r>
      <w:r>
        <w:rPr>
          <w:rFonts w:hint="eastAsia" w:ascii="仿宋_GB2312" w:hAnsi="仿宋_GB2312" w:eastAsia="仿宋_GB2312" w:cs="仿宋_GB2312"/>
          <w:sz w:val="32"/>
          <w:szCs w:val="32"/>
          <w:u w:val="none" w:color="auto"/>
          <w:lang w:val="en-US" w:eastAsia="zh-CN"/>
        </w:rPr>
        <w:t>15034750655</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9E1994-38F4-4753-9C61-40012A5AE3B6}"/>
  </w:font>
  <w:font w:name="黑体">
    <w:panose1 w:val="02010609060101010101"/>
    <w:charset w:val="86"/>
    <w:family w:val="auto"/>
    <w:pitch w:val="default"/>
    <w:sig w:usb0="800002BF" w:usb1="38CF7CFA" w:usb2="00000016" w:usb3="00000000" w:csb0="00040001" w:csb1="00000000"/>
    <w:embedRegular r:id="rId2" w:fontKey="{B42E6604-1213-461C-8809-1F6F81B00C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1BD34450-4235-401D-8BED-8F73A555763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643526AC-AD68-4C12-841F-94E2DC3330A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Helv">
    <w:altName w:val="Arial"/>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7DA19F0F-03A5-4BD1-9792-3786D8EAFC6D}"/>
  </w:font>
  <w:font w:name="仿宋">
    <w:panose1 w:val="02010609060101010101"/>
    <w:charset w:val="86"/>
    <w:family w:val="auto"/>
    <w:pitch w:val="default"/>
    <w:sig w:usb0="800002BF" w:usb1="38CF7CFA" w:usb2="00000016" w:usb3="00000000" w:csb0="00040001" w:csb1="00000000"/>
    <w:embedRegular r:id="rId6" w:fontKey="{8290C688-A7E0-48A5-9362-F9EDC26B3FAA}"/>
  </w:font>
  <w:font w:name="楷体_GB2312">
    <w:panose1 w:val="02010609030101010101"/>
    <w:charset w:val="86"/>
    <w:family w:val="auto"/>
    <w:pitch w:val="default"/>
    <w:sig w:usb0="00000001" w:usb1="080E0000" w:usb2="00000000" w:usb3="00000000" w:csb0="00040000" w:csb1="00000000"/>
    <w:embedRegular r:id="rId7" w:fontKey="{7DB908F1-789D-4BE4-97DD-564FBC79CA71}"/>
  </w:font>
  <w:font w:name="楷体">
    <w:panose1 w:val="02010609060101010101"/>
    <w:charset w:val="86"/>
    <w:family w:val="roman"/>
    <w:pitch w:val="default"/>
    <w:sig w:usb0="800002BF" w:usb1="38CF7CFA" w:usb2="00000016" w:usb3="00000000" w:csb0="00040001" w:csb1="00000000"/>
    <w:embedRegular r:id="rId8" w:fontKey="{917A89CA-678D-4FBA-BE22-B96A5FD1F37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- 19 -</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FCE38"/>
    <w:multiLevelType w:val="singleLevel"/>
    <w:tmpl w:val="C03FCE38"/>
    <w:lvl w:ilvl="0" w:tentative="0">
      <w:start w:val="3"/>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4EC74364"/>
    <w:multiLevelType w:val="singleLevel"/>
    <w:tmpl w:val="4EC74364"/>
    <w:lvl w:ilvl="0" w:tentative="0">
      <w:start w:val="1"/>
      <w:numFmt w:val="chineseCounting"/>
      <w:suff w:val="nothing"/>
      <w:lvlText w:val="%1、"/>
      <w:lvlJc w:val="left"/>
      <w:rPr>
        <w:rFonts w:hint="eastAsia"/>
      </w:rPr>
    </w:lvl>
  </w:abstractNum>
  <w:abstractNum w:abstractNumId="3">
    <w:nsid w:val="712E317B"/>
    <w:multiLevelType w:val="singleLevel"/>
    <w:tmpl w:val="712E317B"/>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YzkyYmRlZmViZTUzZjI2MWZiNmRmYjlhYTdlZTY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6DBC"/>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962B46"/>
    <w:rsid w:val="03C84930"/>
    <w:rsid w:val="03DF7E09"/>
    <w:rsid w:val="048320BB"/>
    <w:rsid w:val="04B563C2"/>
    <w:rsid w:val="05531A54"/>
    <w:rsid w:val="05F92C68"/>
    <w:rsid w:val="06571B7A"/>
    <w:rsid w:val="077111CE"/>
    <w:rsid w:val="0772575A"/>
    <w:rsid w:val="07DA3A8F"/>
    <w:rsid w:val="0834033F"/>
    <w:rsid w:val="089D7C92"/>
    <w:rsid w:val="09C92DD3"/>
    <w:rsid w:val="09CF6E4B"/>
    <w:rsid w:val="0B6B045B"/>
    <w:rsid w:val="0BD554C2"/>
    <w:rsid w:val="0E7B4525"/>
    <w:rsid w:val="0F347B80"/>
    <w:rsid w:val="10767327"/>
    <w:rsid w:val="11304CEB"/>
    <w:rsid w:val="11AF4DCB"/>
    <w:rsid w:val="12955111"/>
    <w:rsid w:val="12CC6E6D"/>
    <w:rsid w:val="13806E42"/>
    <w:rsid w:val="13A607E7"/>
    <w:rsid w:val="140E7482"/>
    <w:rsid w:val="1440520B"/>
    <w:rsid w:val="14737EE6"/>
    <w:rsid w:val="167764D2"/>
    <w:rsid w:val="17BC5001"/>
    <w:rsid w:val="183A0A1F"/>
    <w:rsid w:val="198C1D89"/>
    <w:rsid w:val="1B74013C"/>
    <w:rsid w:val="1CFA34AD"/>
    <w:rsid w:val="1D2D5631"/>
    <w:rsid w:val="1E0D2BED"/>
    <w:rsid w:val="1E591AD6"/>
    <w:rsid w:val="1F14499E"/>
    <w:rsid w:val="1F5B26C7"/>
    <w:rsid w:val="203A4DF7"/>
    <w:rsid w:val="224109E7"/>
    <w:rsid w:val="22A144DF"/>
    <w:rsid w:val="22EB689E"/>
    <w:rsid w:val="2472310C"/>
    <w:rsid w:val="249C2E00"/>
    <w:rsid w:val="26CE5027"/>
    <w:rsid w:val="27F62AEE"/>
    <w:rsid w:val="2866365B"/>
    <w:rsid w:val="28885E11"/>
    <w:rsid w:val="29836658"/>
    <w:rsid w:val="2B9D683D"/>
    <w:rsid w:val="2BDD6474"/>
    <w:rsid w:val="2CF23FA9"/>
    <w:rsid w:val="2DDE2C59"/>
    <w:rsid w:val="2E50057C"/>
    <w:rsid w:val="2F204A26"/>
    <w:rsid w:val="2F3045A4"/>
    <w:rsid w:val="2F567AA0"/>
    <w:rsid w:val="30043F67"/>
    <w:rsid w:val="309F5392"/>
    <w:rsid w:val="313703D4"/>
    <w:rsid w:val="3161171F"/>
    <w:rsid w:val="319A28B2"/>
    <w:rsid w:val="3276083D"/>
    <w:rsid w:val="33905BDA"/>
    <w:rsid w:val="339B19D0"/>
    <w:rsid w:val="3508551A"/>
    <w:rsid w:val="359C0F7A"/>
    <w:rsid w:val="36C02C1A"/>
    <w:rsid w:val="37776170"/>
    <w:rsid w:val="378B37C3"/>
    <w:rsid w:val="37BE57F0"/>
    <w:rsid w:val="383B0BDA"/>
    <w:rsid w:val="388F2FEC"/>
    <w:rsid w:val="38F2725A"/>
    <w:rsid w:val="3941563D"/>
    <w:rsid w:val="39C037CE"/>
    <w:rsid w:val="3A532689"/>
    <w:rsid w:val="3A86167D"/>
    <w:rsid w:val="3AE332B3"/>
    <w:rsid w:val="3B782B1F"/>
    <w:rsid w:val="3C8C247C"/>
    <w:rsid w:val="3D65545B"/>
    <w:rsid w:val="3E7C6D69"/>
    <w:rsid w:val="3FA119B7"/>
    <w:rsid w:val="40177DE3"/>
    <w:rsid w:val="40976810"/>
    <w:rsid w:val="417A1877"/>
    <w:rsid w:val="422711D3"/>
    <w:rsid w:val="432253DD"/>
    <w:rsid w:val="43501007"/>
    <w:rsid w:val="43863DDA"/>
    <w:rsid w:val="444939F2"/>
    <w:rsid w:val="45551365"/>
    <w:rsid w:val="467938A1"/>
    <w:rsid w:val="476F66C2"/>
    <w:rsid w:val="47D54773"/>
    <w:rsid w:val="482809DA"/>
    <w:rsid w:val="4A0B7731"/>
    <w:rsid w:val="4A3A7537"/>
    <w:rsid w:val="4A9A751F"/>
    <w:rsid w:val="4AB8212E"/>
    <w:rsid w:val="4AE10089"/>
    <w:rsid w:val="4B177614"/>
    <w:rsid w:val="4B3A3DE4"/>
    <w:rsid w:val="4B77032C"/>
    <w:rsid w:val="4B852596"/>
    <w:rsid w:val="4BCA4DC2"/>
    <w:rsid w:val="4CC43F74"/>
    <w:rsid w:val="4D3806BD"/>
    <w:rsid w:val="4DFB5E6C"/>
    <w:rsid w:val="4FA56487"/>
    <w:rsid w:val="4FC44EDC"/>
    <w:rsid w:val="4FD03A76"/>
    <w:rsid w:val="50997532"/>
    <w:rsid w:val="52C12FB4"/>
    <w:rsid w:val="53097B05"/>
    <w:rsid w:val="535B5D4C"/>
    <w:rsid w:val="53866EE0"/>
    <w:rsid w:val="538F587F"/>
    <w:rsid w:val="544E2FF3"/>
    <w:rsid w:val="551E7F0E"/>
    <w:rsid w:val="55B95F2B"/>
    <w:rsid w:val="55D63612"/>
    <w:rsid w:val="55D9538F"/>
    <w:rsid w:val="56B137E7"/>
    <w:rsid w:val="57C3620B"/>
    <w:rsid w:val="59654F1B"/>
    <w:rsid w:val="5A650D5A"/>
    <w:rsid w:val="5A8E6B50"/>
    <w:rsid w:val="5B526E3B"/>
    <w:rsid w:val="5D170F36"/>
    <w:rsid w:val="5D176670"/>
    <w:rsid w:val="5EFB5FCF"/>
    <w:rsid w:val="60976762"/>
    <w:rsid w:val="615674ED"/>
    <w:rsid w:val="61744EA1"/>
    <w:rsid w:val="637048DB"/>
    <w:rsid w:val="64AA146F"/>
    <w:rsid w:val="65335497"/>
    <w:rsid w:val="65D76172"/>
    <w:rsid w:val="66C77325"/>
    <w:rsid w:val="68504A59"/>
    <w:rsid w:val="68931D4F"/>
    <w:rsid w:val="68AD09A1"/>
    <w:rsid w:val="68C6406F"/>
    <w:rsid w:val="69E00902"/>
    <w:rsid w:val="6A1011E7"/>
    <w:rsid w:val="6A1638AD"/>
    <w:rsid w:val="6B4551DF"/>
    <w:rsid w:val="6B9E2823"/>
    <w:rsid w:val="6C7B77BD"/>
    <w:rsid w:val="6C992C34"/>
    <w:rsid w:val="6CA95923"/>
    <w:rsid w:val="6D756958"/>
    <w:rsid w:val="718B3849"/>
    <w:rsid w:val="73656E86"/>
    <w:rsid w:val="7377015A"/>
    <w:rsid w:val="739D2BFF"/>
    <w:rsid w:val="745D327B"/>
    <w:rsid w:val="75A01A91"/>
    <w:rsid w:val="75A62E64"/>
    <w:rsid w:val="75BB53FD"/>
    <w:rsid w:val="75E96582"/>
    <w:rsid w:val="761146D7"/>
    <w:rsid w:val="76470CAA"/>
    <w:rsid w:val="764D1082"/>
    <w:rsid w:val="766F2799"/>
    <w:rsid w:val="773B6256"/>
    <w:rsid w:val="77B238DE"/>
    <w:rsid w:val="7BF3685D"/>
    <w:rsid w:val="7D07233B"/>
    <w:rsid w:val="7D40391F"/>
    <w:rsid w:val="7DF96BCA"/>
    <w:rsid w:val="7E1251F4"/>
    <w:rsid w:val="7E6416AA"/>
    <w:rsid w:val="7EE66F59"/>
    <w:rsid w:val="7F1A6E76"/>
    <w:rsid w:val="7F1F783D"/>
    <w:rsid w:val="7F6F0306"/>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next w:val="11"/>
    <w:link w:val="35"/>
    <w:unhideWhenUsed/>
    <w:qFormat/>
    <w:uiPriority w:val="1"/>
    <w:pPr>
      <w:spacing w:after="120"/>
    </w:pPr>
  </w:style>
  <w:style w:type="paragraph" w:styleId="11">
    <w:name w:val="Body Text 2"/>
    <w:basedOn w:val="1"/>
    <w:next w:val="1"/>
    <w:unhideWhenUsed/>
    <w:qFormat/>
    <w:uiPriority w:val="99"/>
    <w:pPr>
      <w:spacing w:after="120" w:line="480" w:lineRule="auto"/>
    </w:pPr>
    <w:rPr>
      <w:szCs w:val="24"/>
    </w:rPr>
  </w:style>
  <w:style w:type="paragraph" w:styleId="12">
    <w:name w:val="annotation text"/>
    <w:basedOn w:val="1"/>
    <w:link w:val="27"/>
    <w:unhideWhenUsed/>
    <w:qFormat/>
    <w:uiPriority w:val="99"/>
    <w:pPr>
      <w:jc w:val="left"/>
    </w:pPr>
  </w:style>
  <w:style w:type="paragraph" w:styleId="13">
    <w:name w:val="Balloon Text"/>
    <w:basedOn w:val="1"/>
    <w:link w:val="37"/>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7">
    <w:name w:val="Subtitle"/>
    <w:basedOn w:val="1"/>
    <w:next w:val="1"/>
    <w:link w:val="30"/>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9">
    <w:name w:val="annotation subject"/>
    <w:basedOn w:val="12"/>
    <w:next w:val="12"/>
    <w:link w:val="28"/>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Char"/>
    <w:basedOn w:val="22"/>
    <w:link w:val="15"/>
    <w:qFormat/>
    <w:uiPriority w:val="99"/>
    <w:rPr>
      <w:sz w:val="18"/>
      <w:szCs w:val="18"/>
    </w:rPr>
  </w:style>
  <w:style w:type="character" w:customStyle="1" w:styleId="26">
    <w:name w:val="页脚 Char"/>
    <w:basedOn w:val="22"/>
    <w:link w:val="14"/>
    <w:qFormat/>
    <w:uiPriority w:val="99"/>
    <w:rPr>
      <w:sz w:val="18"/>
      <w:szCs w:val="18"/>
    </w:rPr>
  </w:style>
  <w:style w:type="character" w:customStyle="1" w:styleId="27">
    <w:name w:val="批注文字 Char"/>
    <w:basedOn w:val="22"/>
    <w:link w:val="12"/>
    <w:qFormat/>
    <w:uiPriority w:val="99"/>
    <w:rPr>
      <w:rFonts w:ascii="Times New Roman" w:hAnsi="Times New Roman" w:eastAsia="Courier New" w:cs="Times New Roman"/>
      <w:szCs w:val="21"/>
    </w:rPr>
  </w:style>
  <w:style w:type="character" w:customStyle="1" w:styleId="28">
    <w:name w:val="批注主题 Char"/>
    <w:basedOn w:val="27"/>
    <w:link w:val="19"/>
    <w:semiHidden/>
    <w:qFormat/>
    <w:uiPriority w:val="99"/>
    <w:rPr>
      <w:rFonts w:ascii="Times New Roman" w:hAnsi="Times New Roman" w:eastAsia="Courier New" w:cs="Times New Roman"/>
      <w:b/>
      <w:bCs/>
      <w:szCs w:val="21"/>
    </w:rPr>
  </w:style>
  <w:style w:type="paragraph" w:customStyle="1" w:styleId="29">
    <w:name w:val="独立格式"/>
    <w:basedOn w:val="17"/>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7"/>
    <w:qFormat/>
    <w:uiPriority w:val="11"/>
    <w:rPr>
      <w:b/>
      <w:bCs/>
      <w:kern w:val="28"/>
      <w:sz w:val="32"/>
      <w:szCs w:val="32"/>
    </w:rPr>
  </w:style>
  <w:style w:type="character" w:customStyle="1" w:styleId="31">
    <w:name w:val="标题 2 Char"/>
    <w:basedOn w:val="22"/>
    <w:link w:val="5"/>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Char"/>
    <w:basedOn w:val="22"/>
    <w:link w:val="8"/>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10"/>
    <w:semiHidden/>
    <w:qFormat/>
    <w:uiPriority w:val="99"/>
    <w:rPr>
      <w:rFonts w:ascii="Times New Roman" w:hAnsi="Times New Roman" w:eastAsia="Courier New" w:cs="Times New Roman"/>
      <w:szCs w:val="21"/>
    </w:rPr>
  </w:style>
  <w:style w:type="character" w:customStyle="1" w:styleId="36">
    <w:name w:val="标题 4 Char"/>
    <w:basedOn w:val="22"/>
    <w:link w:val="7"/>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3"/>
    <w:semiHidden/>
    <w:qFormat/>
    <w:uiPriority w:val="99"/>
    <w:rPr>
      <w:rFonts w:ascii="Times New Roman" w:hAnsi="Times New Roman" w:eastAsia="Courier New" w:cs="Times New Roman"/>
      <w:kern w:val="2"/>
      <w:sz w:val="18"/>
      <w:szCs w:val="18"/>
    </w:rPr>
  </w:style>
  <w:style w:type="table" w:customStyle="1" w:styleId="38">
    <w:name w:val="Table Normal"/>
    <w:unhideWhenUsed/>
    <w:qFormat/>
    <w:uiPriority w:val="2"/>
    <w:tblPr>
      <w:tblCellMar>
        <w:top w:w="0" w:type="dxa"/>
        <w:left w:w="0" w:type="dxa"/>
        <w:bottom w:w="0" w:type="dxa"/>
        <w:right w:w="0" w:type="dxa"/>
      </w:tblCellMar>
    </w:tblPr>
  </w:style>
  <w:style w:type="paragraph" w:customStyle="1" w:styleId="39">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7595</Words>
  <Characters>7852</Characters>
  <Lines>80</Lines>
  <Paragraphs>22</Paragraphs>
  <TotalTime>18</TotalTime>
  <ScaleCrop>false</ScaleCrop>
  <LinksUpToDate>false</LinksUpToDate>
  <CharactersWithSpaces>9241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畅畅~</cp:lastModifiedBy>
  <cp:lastPrinted>2022-09-03T08:20:00Z</cp:lastPrinted>
  <dcterms:modified xsi:type="dcterms:W3CDTF">2024-02-27T01:47:34Z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45E33F65A95F4892B6D9AD54CCF0D913</vt:lpwstr>
  </property>
  <property fmtid="{D5CDD505-2E9C-101B-9397-08002B2CF9AE}" pid="4" name="commondata">
    <vt:lpwstr>eyJoZGlkIjoiMDUyZTZiOWNhNTRkM2JiNDQwZWRmZDZjZTIwNDhiY2IifQ==</vt:lpwstr>
  </property>
</Properties>
</file>