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left"/>
        <w:rPr>
          <w:rFonts w:ascii="黑体" w:hAnsi="黑体" w:eastAsia="黑体" w:cs="黑体"/>
          <w:b/>
          <w:bCs/>
          <w:sz w:val="32"/>
          <w:szCs w:val="32"/>
        </w:rPr>
      </w:pPr>
    </w:p>
    <w:p>
      <w:pPr>
        <w:pageBreakBefore w:val="0"/>
        <w:kinsoku/>
        <w:wordWrap/>
        <w:overflowPunct/>
        <w:topLinePunct w:val="0"/>
        <w:bidi w:val="0"/>
        <w:spacing w:line="600" w:lineRule="exact"/>
        <w:jc w:val="left"/>
        <w:rPr>
          <w:rFonts w:ascii="Arial" w:hAnsi="Arial" w:eastAsia="Symbol"/>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hint="eastAsia" w:eastAsia="方正小标宋简体"/>
          <w:b/>
          <w:bCs/>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2024</w:t>
      </w:r>
      <w:r>
        <w:rPr>
          <w:rFonts w:hint="eastAsia" w:ascii="方正小标宋简体" w:hAnsi="方正小标宋简体" w:eastAsia="方正小标宋简体" w:cs="方正小标宋简体"/>
          <w:b w:val="0"/>
          <w:bCs w:val="0"/>
          <w:sz w:val="44"/>
          <w:szCs w:val="44"/>
        </w:rPr>
        <w:t>年度</w:t>
      </w:r>
      <w:r>
        <w:rPr>
          <w:rFonts w:hint="eastAsia" w:eastAsia="方正小标宋简体"/>
          <w:b/>
          <w:bCs/>
          <w:sz w:val="44"/>
          <w:szCs w:val="44"/>
          <w:lang w:eastAsia="zh-CN"/>
        </w:rPr>
        <w:t>包头市民</w:t>
      </w:r>
      <w:r>
        <w:rPr>
          <w:rFonts w:hint="eastAsia" w:eastAsia="方正小标宋简体"/>
          <w:b w:val="0"/>
          <w:bCs w:val="0"/>
          <w:sz w:val="44"/>
          <w:szCs w:val="44"/>
          <w:lang w:eastAsia="zh-CN"/>
        </w:rPr>
        <w:t>政</w:t>
      </w:r>
      <w:r>
        <w:rPr>
          <w:rFonts w:hint="eastAsia" w:eastAsia="方正小标宋简体"/>
          <w:b/>
          <w:bCs/>
          <w:sz w:val="44"/>
          <w:szCs w:val="44"/>
          <w:lang w:eastAsia="zh-CN"/>
        </w:rPr>
        <w:t>局综合保障中心</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预算</w:t>
      </w:r>
      <w:r>
        <w:rPr>
          <w:rFonts w:hint="eastAsia" w:ascii="方正小标宋简体" w:hAnsi="方正小标宋简体" w:eastAsia="方正小标宋简体" w:cs="方正小标宋简体"/>
          <w:b w:val="0"/>
          <w:bCs w:val="0"/>
          <w:sz w:val="44"/>
          <w:szCs w:val="44"/>
        </w:rPr>
        <w:t>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2"/>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2"/>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rPr>
        <w:t>批复时间：</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val="en-US" w:eastAsia="zh-CN"/>
        </w:rPr>
        <w:t>2024</w:t>
      </w:r>
      <w:r>
        <w:rPr>
          <w:rFonts w:hint="eastAsia" w:ascii="黑体" w:hAnsi="黑体" w:eastAsia="黑体" w:cs="黑体"/>
          <w:sz w:val="32"/>
          <w:szCs w:val="32"/>
          <w:u w:val="none"/>
        </w:rPr>
        <w:t xml:space="preserve">年  </w:t>
      </w:r>
      <w:r>
        <w:rPr>
          <w:rFonts w:hint="eastAsia" w:ascii="黑体" w:hAnsi="黑体" w:eastAsia="黑体" w:cs="黑体"/>
          <w:sz w:val="32"/>
          <w:szCs w:val="32"/>
          <w:u w:val="none"/>
          <w:lang w:val="en-US" w:eastAsia="zh-CN"/>
        </w:rPr>
        <w:t>2</w:t>
      </w:r>
      <w:r>
        <w:rPr>
          <w:rFonts w:hint="eastAsia" w:ascii="黑体" w:hAnsi="黑体" w:eastAsia="黑体" w:cs="黑体"/>
          <w:sz w:val="32"/>
          <w:szCs w:val="32"/>
          <w:u w:val="none"/>
        </w:rPr>
        <w:t xml:space="preserve">  月  </w:t>
      </w:r>
      <w:r>
        <w:rPr>
          <w:rFonts w:hint="eastAsia" w:ascii="黑体" w:hAnsi="黑体" w:eastAsia="黑体" w:cs="黑体"/>
          <w:sz w:val="32"/>
          <w:szCs w:val="32"/>
          <w:u w:val="none"/>
          <w:lang w:val="en-US" w:eastAsia="zh-CN"/>
        </w:rPr>
        <w:t xml:space="preserve"> 9</w:t>
      </w:r>
      <w:r>
        <w:rPr>
          <w:rFonts w:hint="eastAsia" w:ascii="黑体" w:hAnsi="黑体" w:eastAsia="黑体" w:cs="黑体"/>
          <w:sz w:val="32"/>
          <w:szCs w:val="32"/>
          <w:u w:val="none"/>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rPr>
      </w:pPr>
      <w:r>
        <w:rPr>
          <w:rFonts w:ascii="黑体" w:hAnsi="黑体" w:eastAsia="黑体" w:cs="黑体"/>
          <w:sz w:val="32"/>
          <w:szCs w:val="32"/>
        </w:rPr>
        <w:t>公开时间：</w:t>
      </w:r>
      <w:r>
        <w:rPr>
          <w:rFonts w:hint="eastAsia" w:ascii="黑体" w:hAnsi="黑体" w:eastAsia="黑体" w:cs="黑体"/>
          <w:sz w:val="32"/>
          <w:szCs w:val="32"/>
          <w:lang w:val="en-US" w:eastAsia="zh-CN"/>
        </w:rPr>
        <w:t xml:space="preserve"> </w:t>
      </w:r>
      <w:r>
        <w:rPr>
          <w:rFonts w:hint="eastAsia" w:ascii="黑体" w:hAnsi="黑体" w:eastAsia="黑体" w:cs="黑体"/>
          <w:sz w:val="32"/>
          <w:szCs w:val="32"/>
          <w:u w:val="none"/>
          <w:lang w:val="en-US" w:eastAsia="zh-CN"/>
        </w:rPr>
        <w:t>2024</w:t>
      </w:r>
      <w:r>
        <w:rPr>
          <w:rFonts w:hint="eastAsia" w:ascii="黑体" w:hAnsi="黑体" w:eastAsia="黑体" w:cs="黑体"/>
          <w:sz w:val="32"/>
          <w:szCs w:val="32"/>
          <w:u w:val="none"/>
        </w:rPr>
        <w:t xml:space="preserve">年  </w:t>
      </w:r>
      <w:r>
        <w:rPr>
          <w:rFonts w:hint="eastAsia" w:ascii="黑体" w:hAnsi="黑体" w:eastAsia="黑体" w:cs="黑体"/>
          <w:sz w:val="32"/>
          <w:szCs w:val="32"/>
          <w:u w:val="none"/>
          <w:lang w:val="en-US" w:eastAsia="zh-CN"/>
        </w:rPr>
        <w:t>2</w:t>
      </w:r>
      <w:r>
        <w:rPr>
          <w:rFonts w:hint="eastAsia" w:ascii="黑体" w:hAnsi="黑体" w:eastAsia="黑体" w:cs="黑体"/>
          <w:sz w:val="32"/>
          <w:szCs w:val="32"/>
          <w:u w:val="none"/>
        </w:rPr>
        <w:t xml:space="preserve">  月  </w:t>
      </w:r>
      <w:r>
        <w:rPr>
          <w:rFonts w:hint="eastAsia" w:ascii="黑体" w:hAnsi="黑体" w:eastAsia="黑体" w:cs="黑体"/>
          <w:sz w:val="32"/>
          <w:szCs w:val="32"/>
          <w:u w:val="none"/>
          <w:lang w:val="en-US" w:eastAsia="zh-CN"/>
        </w:rPr>
        <w:t>28</w:t>
      </w:r>
      <w:r>
        <w:rPr>
          <w:rFonts w:hint="eastAsia" w:ascii="黑体" w:hAnsi="黑体" w:eastAsia="黑体" w:cs="黑体"/>
          <w:sz w:val="32"/>
          <w:szCs w:val="32"/>
          <w:u w:val="none"/>
        </w:rPr>
        <w:t xml:space="preserve"> 日</w:t>
      </w:r>
    </w:p>
    <w:p>
      <w:pPr>
        <w:pageBreakBefore w:val="0"/>
        <w:kinsoku/>
        <w:wordWrap/>
        <w:overflowPunct/>
        <w:topLinePunct w:val="0"/>
        <w:bidi w:val="0"/>
        <w:adjustRightInd w:val="0"/>
        <w:snapToGrid w:val="0"/>
        <w:spacing w:line="600" w:lineRule="exact"/>
        <w:rPr>
          <w:rFonts w:ascii="仿宋" w:hAnsi="仿宋" w:eastAsia="仿宋"/>
          <w:sz w:val="32"/>
          <w:szCs w:val="32"/>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rPr>
      </w:pPr>
      <w:r>
        <w:rPr>
          <w:rFonts w:hint="eastAsia" w:ascii="仿宋" w:hAnsi="仿宋" w:eastAsia="仿宋" w:cs="仿宋"/>
          <w:w w:val="95"/>
          <w:sz w:val="32"/>
          <w:szCs w:val="32"/>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二、单位机构设置及预算单位构成情况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2024</w:t>
      </w:r>
      <w:r>
        <w:rPr>
          <w:rFonts w:hint="eastAsia" w:ascii="仿宋" w:hAnsi="仿宋" w:eastAsia="仿宋" w:cs="仿宋"/>
          <w:sz w:val="32"/>
          <w:szCs w:val="32"/>
        </w:rPr>
        <w:t>年度单位主要工作任务及目标</w:t>
      </w:r>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2024</w:t>
      </w:r>
      <w:r>
        <w:rPr>
          <w:rFonts w:hint="eastAsia" w:ascii="黑体" w:hAnsi="黑体" w:eastAsia="黑体" w:cs="黑体"/>
          <w:sz w:val="32"/>
          <w:szCs w:val="32"/>
        </w:rPr>
        <w:t>年度单位预算情况说明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rPr>
      </w:pPr>
      <w:r>
        <w:rPr>
          <w:rFonts w:hint="eastAsia" w:ascii="仿宋" w:hAnsi="仿宋" w:eastAsia="仿宋" w:cs="仿宋"/>
          <w:sz w:val="32"/>
          <w:szCs w:val="32"/>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第五部分 </w:t>
      </w:r>
      <w:r>
        <w:rPr>
          <w:rFonts w:hint="eastAsia" w:ascii="黑体" w:hAnsi="黑体" w:eastAsia="黑体" w:cs="黑体"/>
          <w:sz w:val="32"/>
          <w:szCs w:val="32"/>
          <w:lang w:val="en-US" w:eastAsia="zh-CN"/>
        </w:rPr>
        <w:t>2024</w:t>
      </w:r>
      <w:r>
        <w:rPr>
          <w:rFonts w:hint="eastAsia" w:ascii="黑体" w:hAnsi="黑体" w:eastAsia="黑体" w:cs="黑体"/>
          <w:sz w:val="32"/>
          <w:szCs w:val="32"/>
        </w:rPr>
        <w:t>年度单位预算表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收支总表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二、收入总表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三、支出总表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8"/>
          <w:w w:val="95"/>
          <w:sz w:val="32"/>
          <w:szCs w:val="32"/>
        </w:rPr>
        <w:t>“</w:t>
      </w:r>
      <w:r>
        <w:rPr>
          <w:rFonts w:hint="eastAsia" w:ascii="仿宋" w:hAnsi="仿宋" w:eastAsia="仿宋" w:cs="仿宋"/>
          <w:spacing w:val="-15"/>
          <w:w w:val="95"/>
          <w:sz w:val="32"/>
          <w:szCs w:val="32"/>
        </w:rPr>
        <w:t>三公</w:t>
      </w:r>
      <w:r>
        <w:rPr>
          <w:rFonts w:hint="eastAsia" w:ascii="仿宋" w:hAnsi="仿宋" w:eastAsia="仿宋" w:cs="仿宋"/>
          <w:spacing w:val="-10"/>
          <w:w w:val="95"/>
          <w:sz w:val="32"/>
          <w:szCs w:val="32"/>
        </w:rPr>
        <w:t>”</w:t>
      </w:r>
      <w:r>
        <w:rPr>
          <w:rFonts w:hint="eastAsia" w:ascii="仿宋" w:hAnsi="仿宋" w:eastAsia="仿宋" w:cs="仿宋"/>
          <w:spacing w:val="-16"/>
          <w:w w:val="95"/>
          <w:sz w:val="32"/>
          <w:szCs w:val="32"/>
        </w:rPr>
        <w:t>经费支出表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pacing w:val="-16"/>
          <w:w w:val="95"/>
          <w:sz w:val="32"/>
          <w:szCs w:val="32"/>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十二、政府采购预算表</w:t>
      </w:r>
    </w:p>
    <w:p>
      <w:pPr>
        <w:pStyle w:val="2"/>
        <w:pageBreakBefore w:val="0"/>
        <w:kinsoku/>
        <w:wordWrap/>
        <w:overflowPunct/>
        <w:topLinePunct w:val="0"/>
        <w:bidi w:val="0"/>
        <w:spacing w:after="0" w:line="600" w:lineRule="exact"/>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 单位概况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rPr>
      </w:pPr>
      <w:r>
        <w:rPr>
          <w:rFonts w:hint="eastAsia" w:eastAsia="黑体" w:cs="黑体"/>
          <w:b w:val="0"/>
          <w:bCs w:val="0"/>
          <w:sz w:val="32"/>
          <w:szCs w:val="36"/>
        </w:rPr>
        <w:t>主要职能职责</w:t>
      </w:r>
    </w:p>
    <w:p>
      <w:pPr>
        <w:pageBreakBefore w:val="0"/>
        <w:kinsoku/>
        <w:wordWrap/>
        <w:overflowPunct/>
        <w:topLinePunct w:val="0"/>
        <w:bidi w:val="0"/>
        <w:spacing w:line="60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根据中共包头市委员会关于印发《政协包头市委员会机关机构改革方案》的通知（包机编发〔2021〕22 号），经包头市机构编制委员会审核，先予批准实施。</w:t>
      </w:r>
    </w:p>
    <w:p>
      <w:pPr>
        <w:pageBreakBefore w:val="0"/>
        <w:kinsoku/>
        <w:wordWrap/>
        <w:overflowPunct/>
        <w:topLinePunct w:val="0"/>
        <w:bidi w:val="0"/>
        <w:spacing w:line="60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主要职责包括：负责制定包头市民政系统信息化建设规划并组织实施；制定、执行网络规章制度；建立、管理、维护计算机网络，负责网络及数据的安全管理；开发、管理维护包头市民政门户网站；组织信息化专业技术培训；负责网络和系统设备、民政系统办公自动化设备的应用；完成上级信息部门和民政局交办的其它工作；负责对全市救助申请人家庭经济状况进行核对、复查，为救助审批提供依据；负责全市救助对象普查，动态核查，分类建立救助资源数据库。</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二、单位机构设置及预算单位构成情况</w:t>
      </w:r>
    </w:p>
    <w:p>
      <w:pPr>
        <w:pageBreakBefore w:val="0"/>
        <w:numPr>
          <w:ilvl w:val="0"/>
          <w:numId w:val="0"/>
        </w:numPr>
        <w:kinsoku/>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根据单位职责分工，本单位内设机构包括办公室，</w:t>
      </w:r>
      <w:r>
        <w:rPr>
          <w:rFonts w:hint="eastAsia" w:ascii="仿宋" w:hAnsi="仿宋" w:eastAsia="仿宋" w:cs="仿宋"/>
          <w:sz w:val="32"/>
          <w:szCs w:val="32"/>
          <w:lang w:eastAsia="zh-CN"/>
        </w:rPr>
        <w:t>业务科</w:t>
      </w:r>
      <w:r>
        <w:rPr>
          <w:rFonts w:hint="eastAsia" w:ascii="仿宋" w:hAnsi="仿宋" w:eastAsia="仿宋" w:cs="仿宋"/>
          <w:sz w:val="32"/>
          <w:szCs w:val="32"/>
        </w:rPr>
        <w:t>等。本单位无下属单位。</w:t>
      </w:r>
    </w:p>
    <w:p>
      <w:pPr>
        <w:pageBreakBefore w:val="0"/>
        <w:numPr>
          <w:ilvl w:val="0"/>
          <w:numId w:val="0"/>
        </w:numPr>
        <w:kinsoku/>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2．从预算单位构成看，纳入本单位 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年部门汇总预算编制范围的预算单位共计 1 家，具体包括：包头市民政局综合保障中心。</w:t>
      </w:r>
    </w:p>
    <w:p>
      <w:pPr>
        <w:pageBreakBefore w:val="0"/>
        <w:tabs>
          <w:tab w:val="left" w:pos="3532"/>
        </w:tabs>
        <w:kinsoku/>
        <w:wordWrap/>
        <w:overflowPunct/>
        <w:topLinePunct w:val="0"/>
        <w:autoSpaceDE w:val="0"/>
        <w:autoSpaceDN w:val="0"/>
        <w:bidi w:val="0"/>
        <w:adjustRightInd w:val="0"/>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单位情况表</w:t>
      </w:r>
    </w:p>
    <w:tbl>
      <w:tblPr>
        <w:tblStyle w:val="20"/>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231"/>
        <w:gridCol w:w="4240"/>
      </w:tblGrid>
      <w:tr>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bidi w:val="0"/>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4231"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bidi w:val="0"/>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单位名称</w:t>
            </w:r>
          </w:p>
        </w:tc>
        <w:tc>
          <w:tcPr>
            <w:tcW w:w="4240" w:type="dxa"/>
            <w:tcBorders>
              <w:top w:val="single" w:color="auto" w:sz="4" w:space="0"/>
              <w:left w:val="nil"/>
              <w:bottom w:val="single" w:color="auto" w:sz="4" w:space="0"/>
              <w:right w:val="single" w:color="auto" w:sz="4" w:space="0"/>
            </w:tcBorders>
            <w:vAlign w:val="top"/>
          </w:tcPr>
          <w:p>
            <w:pPr>
              <w:pageBreakBefore w:val="0"/>
              <w:widowControl/>
              <w:kinsoku/>
              <w:wordWrap/>
              <w:overflowPunct/>
              <w:topLinePunct w:val="0"/>
              <w:bidi w:val="0"/>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单位性质</w:t>
            </w:r>
          </w:p>
        </w:tc>
      </w:tr>
      <w:tr>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top"/>
          </w:tcPr>
          <w:p>
            <w:pPr>
              <w:pStyle w:val="40"/>
              <w:spacing w:before="222"/>
              <w:ind w:left="7" w:leftChars="0"/>
              <w:jc w:val="center"/>
              <w:rPr>
                <w:rFonts w:hint="eastAsia" w:ascii="仿宋" w:hAnsi="仿宋" w:eastAsia="仿宋" w:cs="仿宋"/>
                <w:kern w:val="0"/>
                <w:sz w:val="32"/>
                <w:szCs w:val="32"/>
              </w:rPr>
            </w:pPr>
            <w:r>
              <w:rPr>
                <w:rFonts w:hint="eastAsia" w:ascii="仿宋" w:hAnsi="仿宋" w:eastAsia="仿宋" w:cs="仿宋"/>
                <w:sz w:val="32"/>
                <w:szCs w:val="32"/>
              </w:rPr>
              <w:t>1</w:t>
            </w:r>
          </w:p>
        </w:tc>
        <w:tc>
          <w:tcPr>
            <w:tcW w:w="4231" w:type="dxa"/>
            <w:tcBorders>
              <w:top w:val="nil"/>
              <w:left w:val="nil"/>
              <w:bottom w:val="single" w:color="auto" w:sz="4" w:space="0"/>
              <w:right w:val="single" w:color="auto" w:sz="4" w:space="0"/>
            </w:tcBorders>
            <w:vAlign w:val="top"/>
          </w:tcPr>
          <w:p>
            <w:pPr>
              <w:pStyle w:val="40"/>
              <w:spacing w:before="222"/>
              <w:ind w:left="0" w:leftChars="0" w:firstLine="0" w:firstLineChars="0"/>
              <w:jc w:val="left"/>
              <w:rPr>
                <w:rFonts w:hint="eastAsia" w:ascii="仿宋" w:hAnsi="仿宋" w:eastAsia="仿宋" w:cs="仿宋"/>
                <w:kern w:val="0"/>
                <w:sz w:val="32"/>
                <w:szCs w:val="32"/>
              </w:rPr>
            </w:pPr>
            <w:r>
              <w:rPr>
                <w:rFonts w:hint="eastAsia" w:ascii="仿宋" w:hAnsi="仿宋" w:eastAsia="仿宋" w:cs="仿宋"/>
                <w:sz w:val="32"/>
                <w:szCs w:val="32"/>
              </w:rPr>
              <w:t>包头市民政局综合保障中心</w:t>
            </w:r>
          </w:p>
        </w:tc>
        <w:tc>
          <w:tcPr>
            <w:tcW w:w="4240" w:type="dxa"/>
            <w:tcBorders>
              <w:top w:val="nil"/>
              <w:left w:val="nil"/>
              <w:bottom w:val="single" w:color="auto" w:sz="4" w:space="0"/>
              <w:right w:val="single" w:color="auto" w:sz="4" w:space="0"/>
            </w:tcBorders>
            <w:vAlign w:val="top"/>
          </w:tcPr>
          <w:p>
            <w:pPr>
              <w:pStyle w:val="40"/>
              <w:spacing w:before="222"/>
              <w:ind w:left="0" w:leftChars="0" w:firstLine="0" w:firstLineChars="0"/>
              <w:jc w:val="left"/>
              <w:rPr>
                <w:rFonts w:hint="eastAsia" w:ascii="仿宋" w:hAnsi="仿宋" w:eastAsia="仿宋" w:cs="仿宋"/>
                <w:kern w:val="0"/>
                <w:sz w:val="32"/>
                <w:szCs w:val="32"/>
              </w:rPr>
            </w:pPr>
            <w:r>
              <w:rPr>
                <w:rFonts w:hint="eastAsia" w:ascii="仿宋" w:hAnsi="仿宋" w:eastAsia="仿宋" w:cs="仿宋"/>
                <w:sz w:val="32"/>
                <w:szCs w:val="32"/>
              </w:rPr>
              <w:t>全额拨款的事业单位</w:t>
            </w:r>
          </w:p>
        </w:tc>
      </w:tr>
    </w:tbl>
    <w:p>
      <w:pPr>
        <w:pageBreakBefore w:val="0"/>
        <w:kinsoku/>
        <w:wordWrap/>
        <w:overflowPunct/>
        <w:topLinePunct w:val="0"/>
        <w:bidi w:val="0"/>
        <w:spacing w:line="600" w:lineRule="exact"/>
        <w:ind w:firstLine="640" w:firstLineChars="200"/>
        <w:rPr>
          <w:rFonts w:hint="eastAsia" w:ascii="仿宋" w:hAnsi="仿宋" w:eastAsia="仿宋" w:cs="仿宋"/>
          <w:b w:val="0"/>
          <w:bCs w:val="0"/>
          <w:sz w:val="32"/>
          <w:szCs w:val="32"/>
        </w:rPr>
      </w:pPr>
    </w:p>
    <w:p>
      <w:pPr>
        <w:pageBreakBefore w:val="0"/>
        <w:kinsoku/>
        <w:wordWrap/>
        <w:overflowPunct/>
        <w:topLinePunct w:val="0"/>
        <w:bidi w:val="0"/>
        <w:spacing w:line="600" w:lineRule="exact"/>
        <w:ind w:firstLine="640" w:firstLineChars="200"/>
        <w:rPr>
          <w:rFonts w:hint="eastAsia" w:eastAsia="黑体" w:cs="黑体"/>
          <w:b w:val="0"/>
          <w:bCs w:val="0"/>
          <w:color w:val="auto"/>
          <w:sz w:val="32"/>
          <w:szCs w:val="36"/>
        </w:rPr>
      </w:pPr>
      <w:r>
        <w:rPr>
          <w:rFonts w:hint="eastAsia" w:eastAsia="黑体" w:cs="黑体"/>
          <w:b w:val="0"/>
          <w:bCs w:val="0"/>
          <w:color w:val="auto"/>
          <w:sz w:val="32"/>
          <w:szCs w:val="36"/>
        </w:rPr>
        <w:t>三</w:t>
      </w:r>
    </w:p>
    <w:p>
      <w:pPr>
        <w:pageBreakBefore w:val="0"/>
        <w:kinsoku/>
        <w:wordWrap/>
        <w:overflowPunct/>
        <w:topLinePunct w:val="0"/>
        <w:bidi w:val="0"/>
        <w:spacing w:line="600" w:lineRule="exact"/>
        <w:ind w:firstLine="640" w:firstLineChars="200"/>
        <w:rPr>
          <w:rFonts w:hint="eastAsia" w:eastAsia="黑体" w:cs="黑体"/>
          <w:b w:val="0"/>
          <w:bCs w:val="0"/>
          <w:color w:val="auto"/>
          <w:sz w:val="32"/>
          <w:szCs w:val="36"/>
        </w:rPr>
      </w:pPr>
    </w:p>
    <w:p>
      <w:pPr>
        <w:pageBreakBefore w:val="0"/>
        <w:kinsoku/>
        <w:wordWrap/>
        <w:overflowPunct/>
        <w:topLinePunct w:val="0"/>
        <w:bidi w:val="0"/>
        <w:spacing w:line="600" w:lineRule="exact"/>
        <w:ind w:firstLine="640" w:firstLineChars="200"/>
        <w:rPr>
          <w:rFonts w:hint="eastAsia" w:eastAsia="黑体" w:cs="黑体"/>
          <w:b w:val="0"/>
          <w:bCs w:val="0"/>
          <w:color w:val="auto"/>
          <w:sz w:val="32"/>
          <w:szCs w:val="36"/>
        </w:rPr>
      </w:pPr>
      <w:r>
        <w:rPr>
          <w:rFonts w:hint="eastAsia" w:eastAsia="黑体" w:cs="黑体"/>
          <w:b w:val="0"/>
          <w:bCs w:val="0"/>
          <w:color w:val="auto"/>
          <w:sz w:val="32"/>
          <w:szCs w:val="36"/>
          <w:lang w:eastAsia="zh-CN"/>
        </w:rPr>
        <w:t>三、</w:t>
      </w:r>
      <w:bookmarkStart w:id="0" w:name="_GoBack"/>
      <w:bookmarkEnd w:id="0"/>
      <w:r>
        <w:rPr>
          <w:rFonts w:hint="eastAsia" w:eastAsia="黑体" w:cs="黑体"/>
          <w:b w:val="0"/>
          <w:bCs w:val="0"/>
          <w:color w:val="auto"/>
          <w:sz w:val="32"/>
          <w:szCs w:val="36"/>
          <w:lang w:val="en-US" w:eastAsia="zh-CN"/>
        </w:rPr>
        <w:t>2024</w:t>
      </w:r>
      <w:r>
        <w:rPr>
          <w:rFonts w:hint="eastAsia" w:eastAsia="黑体" w:cs="黑体"/>
          <w:b w:val="0"/>
          <w:bCs w:val="0"/>
          <w:color w:val="auto"/>
          <w:sz w:val="32"/>
          <w:szCs w:val="36"/>
        </w:rPr>
        <w:t>年单位主要工作任务及目标</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一是包头市民政门户网站，主要用于发布局机关各科室 及局属各单位提供的公共资源配置领域、社会公益事业建设 领域、重大建设项目批准和实施领域而重大建设项目批准和 实施领域等相关信息，并围绕三大攻坚战解读相关信息工作； 二是包头市民政资金管理系统，重大建设项目批准和实施领 域而重大建设项目批准的资金管理；三是包头市居民家庭经 济状况核对系统，用于协助包头市社会救助系统精准识别社 会救助对象，核对内容涉及公安、人社、国土、工商、税务、财政、民政、残联、编办、司法、证监等 28 个部门 40 项数 据 （人口户籍、车辆、养老金、社保缴纳、不动产、工商登记、税务缴纳、财政供养、婚姻登记、殡葬、残疾人、编 制信息、服刑人员、证券等数据），为精准识别社会救助对 象提供数据支撑。</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目标：社会救助系统建设之初已按照文件中“一市一平台、一乡一节点、一户一档案”的要求，形成市本级、旗县 区、办事处、社区/村、户、个人等各个层面的信息服务体系，结合居民家庭经济状况核对系统的出具的核对报告，实现扶贫对象的精准识别、精准帮扶、精准脱贫的全信息化管理，实现一户一档案，甚至一人一档案的信息化</w:t>
      </w:r>
      <w:r>
        <w:rPr>
          <w:rFonts w:hint="eastAsia" w:ascii="仿宋_GB2312" w:hAnsi="仿宋_GB2312" w:eastAsia="仿宋_GB2312" w:cs="仿宋_GB2312"/>
          <w:sz w:val="32"/>
          <w:szCs w:val="32"/>
          <w:lang w:val="en-US" w:eastAsia="zh-CN"/>
        </w:rPr>
        <w:t>管理方式， 保证网络扶贫工作的顺利进行。</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lang w:val="en-US" w:eastAsia="zh-CN"/>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第二部分</w:t>
      </w:r>
      <w:r>
        <w:rPr>
          <w:rFonts w:hint="eastAsia" w:ascii="方正小标宋简体" w:hAnsi="方正小标宋简体" w:eastAsia="方正小标宋简体" w:cs="方正小标宋简体"/>
          <w:b w:val="0"/>
          <w:bCs w:val="0"/>
          <w:sz w:val="36"/>
          <w:szCs w:val="36"/>
          <w:lang w:val="en-US" w:eastAsia="zh-CN"/>
        </w:rPr>
        <w:t>2024</w:t>
      </w:r>
      <w:r>
        <w:rPr>
          <w:rFonts w:hint="eastAsia" w:ascii="方正小标宋简体" w:hAnsi="方正小标宋简体" w:eastAsia="方正小标宋简体" w:cs="方正小标宋简体"/>
          <w:b w:val="0"/>
          <w:bCs w:val="0"/>
          <w:sz w:val="36"/>
          <w:szCs w:val="36"/>
        </w:rPr>
        <w:t>年度单位预算情况说明</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一、收支预算总体情况说明</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eastAsia="zh-CN"/>
        </w:rPr>
        <w:t>包头市民政局综合保障中心单位 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年度收入、支出预算总计</w:t>
      </w:r>
      <w:r>
        <w:rPr>
          <w:rFonts w:hint="eastAsia" w:ascii="仿宋" w:hAnsi="仿宋" w:eastAsia="仿宋" w:cs="仿宋"/>
          <w:sz w:val="32"/>
          <w:szCs w:val="32"/>
          <w:lang w:val="en-US" w:eastAsia="zh-CN"/>
        </w:rPr>
        <w:t>282.09</w:t>
      </w:r>
      <w:r>
        <w:rPr>
          <w:rFonts w:hint="eastAsia" w:ascii="仿宋" w:hAnsi="仿宋" w:eastAsia="仿宋" w:cs="仿宋"/>
          <w:sz w:val="32"/>
          <w:szCs w:val="32"/>
        </w:rPr>
        <w:t>万元，与上年相比收、支预算总计各增加</w:t>
      </w:r>
      <w:r>
        <w:rPr>
          <w:rFonts w:hint="eastAsia" w:ascii="仿宋" w:hAnsi="仿宋" w:eastAsia="仿宋" w:cs="仿宋"/>
          <w:sz w:val="32"/>
          <w:szCs w:val="32"/>
          <w:lang w:val="en-US" w:eastAsia="zh-CN"/>
        </w:rPr>
        <w:t>30.95</w:t>
      </w:r>
      <w:r>
        <w:rPr>
          <w:rFonts w:hint="eastAsia" w:ascii="仿宋" w:hAnsi="仿宋" w:eastAsia="仿宋" w:cs="仿宋"/>
          <w:sz w:val="32"/>
          <w:szCs w:val="32"/>
        </w:rPr>
        <w:t>万元，增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12.32</w:t>
      </w:r>
      <w:r>
        <w:rPr>
          <w:rFonts w:hint="eastAsia" w:ascii="仿宋" w:hAnsi="仿宋" w:eastAsia="仿宋" w:cs="仿宋"/>
          <w:sz w:val="32"/>
          <w:szCs w:val="32"/>
        </w:rPr>
        <w:t>%。其中：</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ascii="仿宋_GB2312" w:hAnsi="仿宋_GB2312" w:eastAsia="仿宋_GB2312" w:cs="仿宋_GB2312"/>
          <w:b/>
          <w:bCs/>
          <w:sz w:val="32"/>
          <w:szCs w:val="32"/>
          <w:lang w:val="en-US" w:eastAsia="zh-CN"/>
        </w:rPr>
        <w:t>282.09</w:t>
      </w:r>
      <w:r>
        <w:rPr>
          <w:rFonts w:hint="eastAsia" w:ascii="楷体" w:hAnsi="楷体" w:eastAsia="楷体" w:cs="楷体"/>
          <w:b/>
          <w:bCs/>
          <w:sz w:val="32"/>
          <w:szCs w:val="32"/>
        </w:rPr>
        <w:t>万元。包括：</w:t>
      </w:r>
    </w:p>
    <w:p>
      <w:pPr>
        <w:pStyle w:val="10"/>
        <w:pageBreakBefore w:val="0"/>
        <w:tabs>
          <w:tab w:val="left" w:pos="3792"/>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1．本年收入合计</w:t>
      </w:r>
      <w:r>
        <w:rPr>
          <w:rFonts w:hint="eastAsia" w:ascii="仿宋" w:hAnsi="仿宋" w:eastAsia="仿宋" w:cs="仿宋"/>
          <w:sz w:val="32"/>
          <w:szCs w:val="32"/>
          <w:lang w:val="en-US" w:eastAsia="zh-CN"/>
        </w:rPr>
        <w:t>271.72</w:t>
      </w:r>
      <w:r>
        <w:rPr>
          <w:rFonts w:hint="eastAsia" w:ascii="仿宋" w:hAnsi="仿宋" w:eastAsia="仿宋" w:cs="仿宋"/>
          <w:sz w:val="32"/>
          <w:szCs w:val="32"/>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（1）一般公共预算拨款收入</w:t>
      </w:r>
      <w:r>
        <w:rPr>
          <w:rFonts w:hint="eastAsia" w:ascii="仿宋" w:hAnsi="仿宋" w:eastAsia="仿宋" w:cs="仿宋"/>
          <w:sz w:val="32"/>
          <w:szCs w:val="32"/>
          <w:lang w:val="en-US" w:eastAsia="zh-CN"/>
        </w:rPr>
        <w:t>271.72</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20.58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8.19</w:t>
      </w:r>
      <w:r>
        <w:rPr>
          <w:rFonts w:hint="eastAsia" w:ascii="仿宋" w:hAnsi="仿宋" w:eastAsia="仿宋" w:cs="仿宋"/>
          <w:sz w:val="32"/>
          <w:szCs w:val="32"/>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1人，相应的人员经费增加，同时</w:t>
      </w:r>
      <w:r>
        <w:rPr>
          <w:rFonts w:hint="eastAsia" w:ascii="仿宋" w:hAnsi="仿宋" w:eastAsia="仿宋" w:cs="仿宋"/>
          <w:sz w:val="32"/>
          <w:szCs w:val="32"/>
        </w:rPr>
        <w:t>人员工资调标、绩效增加，缴纳基数提高。</w:t>
      </w:r>
    </w:p>
    <w:p>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（2）政府性基金预算拨款收入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（3）国有资本经营预算拨款收入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（4）财政专户管理资金收入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3310"/>
          <w:tab w:val="left" w:pos="3807"/>
          <w:tab w:val="left" w:pos="9433"/>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（6）事业单位经营收入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4320"/>
          <w:tab w:val="left" w:pos="9433"/>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3310"/>
          <w:tab w:val="left" w:pos="4121"/>
          <w:tab w:val="left" w:pos="9431"/>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b w:val="0"/>
          <w:bCs w:val="0"/>
          <w:sz w:val="32"/>
          <w:szCs w:val="32"/>
          <w:lang w:val="zh-CN" w:eastAsia="zh-CN" w:bidi="zh-CN"/>
        </w:rPr>
        <w:t>不存在此项内容</w:t>
      </w:r>
      <w:r>
        <w:rPr>
          <w:rFonts w:hint="eastAsia" w:ascii="仿宋" w:hAnsi="仿宋" w:eastAsia="仿宋" w:cs="仿宋"/>
          <w:sz w:val="32"/>
          <w:szCs w:val="32"/>
        </w:rPr>
        <w:t>。</w:t>
      </w:r>
    </w:p>
    <w:p>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2．上年结转结余为</w:t>
      </w:r>
      <w:r>
        <w:rPr>
          <w:rFonts w:hint="eastAsia" w:ascii="仿宋" w:hAnsi="仿宋" w:eastAsia="仿宋" w:cs="仿宋"/>
          <w:sz w:val="32"/>
          <w:szCs w:val="32"/>
          <w:lang w:val="en-US" w:eastAsia="zh-CN"/>
        </w:rPr>
        <w:t>10.37</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10.37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%。主要原因是</w:t>
      </w:r>
      <w:r>
        <w:rPr>
          <w:rFonts w:hint="eastAsia" w:ascii="仿宋" w:hAnsi="仿宋" w:eastAsia="仿宋" w:cs="仿宋"/>
          <w:sz w:val="32"/>
          <w:szCs w:val="32"/>
          <w:lang w:eastAsia="zh-CN"/>
        </w:rPr>
        <w:t>上年公用资金结余较多</w:t>
      </w:r>
      <w:r>
        <w:rPr>
          <w:rFonts w:hint="eastAsia" w:ascii="仿宋" w:hAnsi="仿宋" w:eastAsia="仿宋" w:cs="仿宋"/>
          <w:sz w:val="32"/>
          <w:szCs w:val="32"/>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ascii="楷体" w:hAnsi="楷体" w:eastAsia="楷体" w:cs="楷体"/>
          <w:b/>
          <w:bCs/>
          <w:sz w:val="32"/>
          <w:szCs w:val="32"/>
          <w:lang w:val="en-US" w:eastAsia="zh-CN"/>
        </w:rPr>
        <w:t>282.09</w:t>
      </w:r>
      <w:r>
        <w:rPr>
          <w:rFonts w:hint="eastAsia" w:ascii="楷体" w:hAnsi="楷体" w:eastAsia="楷体" w:cs="楷体"/>
          <w:b/>
          <w:bCs/>
          <w:sz w:val="32"/>
          <w:szCs w:val="32"/>
        </w:rPr>
        <w:t>万元。包括：</w:t>
      </w:r>
    </w:p>
    <w:p>
      <w:pPr>
        <w:pStyle w:val="10"/>
        <w:pageBreakBefore w:val="0"/>
        <w:tabs>
          <w:tab w:val="left" w:pos="3792"/>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1．本年支出合计</w:t>
      </w:r>
      <w:r>
        <w:rPr>
          <w:rFonts w:hint="eastAsia" w:ascii="仿宋" w:hAnsi="仿宋" w:eastAsia="仿宋" w:cs="仿宋"/>
          <w:sz w:val="32"/>
          <w:szCs w:val="32"/>
          <w:lang w:val="en-US" w:eastAsia="zh-CN"/>
        </w:rPr>
        <w:t>282.09</w:t>
      </w:r>
      <w:r>
        <w:rPr>
          <w:rFonts w:hint="eastAsia" w:ascii="仿宋" w:hAnsi="仿宋" w:eastAsia="仿宋" w:cs="仿宋"/>
          <w:sz w:val="32"/>
          <w:szCs w:val="32"/>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（1）社会保障和就业（类）支出</w:t>
      </w:r>
      <w:r>
        <w:rPr>
          <w:rFonts w:hint="eastAsia" w:ascii="仿宋" w:hAnsi="仿宋" w:eastAsia="仿宋" w:cs="仿宋"/>
          <w:sz w:val="32"/>
          <w:szCs w:val="32"/>
          <w:lang w:val="en-US" w:eastAsia="zh-CN"/>
        </w:rPr>
        <w:t>254.74</w:t>
      </w:r>
      <w:r>
        <w:rPr>
          <w:rFonts w:hint="eastAsia" w:ascii="仿宋" w:hAnsi="仿宋" w:eastAsia="仿宋" w:cs="仿宋"/>
          <w:sz w:val="32"/>
          <w:szCs w:val="32"/>
        </w:rPr>
        <w:t>万元，主要用于主要用于单位在职人员基本工资、津贴补贴等人员经费、单位实施养老保险制度由单位缴纳的基本养老保险缴费支出以及机关运行经费支出，保障机构正常运行、开展日常工作。与上年相比增加</w:t>
      </w:r>
      <w:r>
        <w:rPr>
          <w:rFonts w:hint="eastAsia" w:ascii="仿宋" w:hAnsi="仿宋" w:eastAsia="仿宋" w:cs="仿宋"/>
          <w:sz w:val="32"/>
          <w:szCs w:val="32"/>
          <w:lang w:val="en-US" w:eastAsia="zh-CN"/>
        </w:rPr>
        <w:t>27.59</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12.15</w:t>
      </w:r>
      <w:r>
        <w:rPr>
          <w:rFonts w:hint="eastAsia" w:ascii="仿宋" w:hAnsi="仿宋" w:eastAsia="仿宋" w:cs="仿宋"/>
          <w:sz w:val="32"/>
          <w:szCs w:val="32"/>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2人，相应的人员经费增加，同时</w:t>
      </w:r>
      <w:r>
        <w:rPr>
          <w:rFonts w:hint="eastAsia" w:ascii="仿宋" w:hAnsi="仿宋" w:eastAsia="仿宋" w:cs="仿宋"/>
          <w:sz w:val="32"/>
          <w:szCs w:val="32"/>
        </w:rPr>
        <w:t>人员工资调标、绩效增加，缴纳</w:t>
      </w:r>
      <w:r>
        <w:rPr>
          <w:rFonts w:hint="eastAsia" w:ascii="仿宋" w:hAnsi="仿宋" w:eastAsia="仿宋" w:cs="仿宋"/>
          <w:sz w:val="32"/>
          <w:szCs w:val="32"/>
          <w:lang w:eastAsia="zh-CN"/>
        </w:rPr>
        <w:t>保险</w:t>
      </w:r>
      <w:r>
        <w:rPr>
          <w:rFonts w:hint="eastAsia" w:ascii="仿宋" w:hAnsi="仿宋" w:eastAsia="仿宋" w:cs="仿宋"/>
          <w:sz w:val="32"/>
          <w:szCs w:val="32"/>
        </w:rPr>
        <w:t>基数提高。</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）卫生健康（类）支出</w:t>
      </w:r>
      <w:r>
        <w:rPr>
          <w:rFonts w:hint="eastAsia" w:ascii="仿宋" w:hAnsi="仿宋" w:eastAsia="仿宋" w:cs="仿宋"/>
          <w:sz w:val="32"/>
          <w:szCs w:val="32"/>
          <w:lang w:val="en-US" w:eastAsia="zh-CN"/>
        </w:rPr>
        <w:t>9.39</w:t>
      </w:r>
      <w:r>
        <w:rPr>
          <w:rFonts w:hint="eastAsia" w:ascii="仿宋" w:hAnsi="仿宋" w:eastAsia="仿宋" w:cs="仿宋"/>
          <w:sz w:val="32"/>
          <w:szCs w:val="32"/>
        </w:rPr>
        <w:t>万元，主要用于职工单位医疗保险。与上年相比增加</w:t>
      </w:r>
      <w:r>
        <w:rPr>
          <w:rFonts w:hint="eastAsia" w:ascii="仿宋" w:hAnsi="仿宋" w:eastAsia="仿宋" w:cs="仿宋"/>
          <w:sz w:val="32"/>
          <w:szCs w:val="32"/>
          <w:lang w:val="en-US" w:eastAsia="zh-CN"/>
        </w:rPr>
        <w:t>1.17</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14.23</w:t>
      </w:r>
      <w:r>
        <w:rPr>
          <w:rFonts w:hint="eastAsia" w:ascii="仿宋" w:hAnsi="仿宋" w:eastAsia="仿宋" w:cs="仿宋"/>
          <w:sz w:val="32"/>
          <w:szCs w:val="32"/>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2人，</w:t>
      </w:r>
      <w:r>
        <w:rPr>
          <w:rFonts w:hint="eastAsia" w:ascii="仿宋" w:hAnsi="仿宋" w:eastAsia="仿宋" w:cs="仿宋"/>
          <w:sz w:val="32"/>
          <w:szCs w:val="32"/>
        </w:rPr>
        <w:t>缴纳</w:t>
      </w:r>
      <w:r>
        <w:rPr>
          <w:rFonts w:hint="eastAsia" w:ascii="仿宋" w:hAnsi="仿宋" w:eastAsia="仿宋" w:cs="仿宋"/>
          <w:sz w:val="32"/>
          <w:szCs w:val="32"/>
          <w:lang w:eastAsia="zh-CN"/>
        </w:rPr>
        <w:t>保险</w:t>
      </w:r>
      <w:r>
        <w:rPr>
          <w:rFonts w:hint="eastAsia" w:ascii="仿宋" w:hAnsi="仿宋" w:eastAsia="仿宋" w:cs="仿宋"/>
          <w:sz w:val="32"/>
          <w:szCs w:val="32"/>
        </w:rPr>
        <w:t>基数提高。</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）住房保障（类）支出</w:t>
      </w:r>
      <w:r>
        <w:rPr>
          <w:rFonts w:hint="eastAsia" w:ascii="仿宋" w:hAnsi="仿宋" w:eastAsia="仿宋" w:cs="仿宋"/>
          <w:sz w:val="32"/>
          <w:szCs w:val="32"/>
          <w:lang w:val="en-US" w:eastAsia="zh-CN"/>
        </w:rPr>
        <w:t>17.96</w:t>
      </w:r>
      <w:r>
        <w:rPr>
          <w:rFonts w:hint="eastAsia" w:ascii="仿宋" w:hAnsi="仿宋" w:eastAsia="仿宋" w:cs="仿宋"/>
          <w:sz w:val="32"/>
          <w:szCs w:val="32"/>
        </w:rPr>
        <w:t>万元，主要用于职工住房公积金。与上年相比增加</w:t>
      </w:r>
      <w:r>
        <w:rPr>
          <w:rFonts w:hint="eastAsia" w:ascii="仿宋" w:hAnsi="仿宋" w:eastAsia="仿宋" w:cs="仿宋"/>
          <w:sz w:val="32"/>
          <w:szCs w:val="32"/>
          <w:lang w:val="en-US" w:eastAsia="zh-CN"/>
        </w:rPr>
        <w:t>2.19</w:t>
      </w:r>
      <w:r>
        <w:rPr>
          <w:rFonts w:hint="eastAsia" w:ascii="仿宋" w:hAnsi="仿宋" w:eastAsia="仿宋" w:cs="仿宋"/>
          <w:sz w:val="32"/>
          <w:szCs w:val="32"/>
        </w:rPr>
        <w:t>万元，增加</w:t>
      </w:r>
      <w:r>
        <w:rPr>
          <w:rFonts w:hint="eastAsia" w:ascii="仿宋" w:hAnsi="仿宋" w:eastAsia="仿宋" w:cs="仿宋"/>
          <w:sz w:val="32"/>
          <w:szCs w:val="32"/>
          <w:lang w:val="en-US" w:eastAsia="zh-CN"/>
        </w:rPr>
        <w:t>13.89</w:t>
      </w:r>
      <w:r>
        <w:rPr>
          <w:rFonts w:hint="eastAsia" w:ascii="仿宋" w:hAnsi="仿宋" w:eastAsia="仿宋" w:cs="仿宋"/>
          <w:sz w:val="32"/>
          <w:szCs w:val="32"/>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2人，</w:t>
      </w:r>
      <w:r>
        <w:rPr>
          <w:rFonts w:hint="eastAsia" w:ascii="仿宋" w:hAnsi="仿宋" w:eastAsia="仿宋" w:cs="仿宋"/>
          <w:sz w:val="32"/>
          <w:szCs w:val="32"/>
        </w:rPr>
        <w:t>缴纳</w:t>
      </w:r>
      <w:r>
        <w:rPr>
          <w:rFonts w:hint="eastAsia" w:ascii="仿宋" w:hAnsi="仿宋" w:eastAsia="仿宋" w:cs="仿宋"/>
          <w:sz w:val="32"/>
          <w:szCs w:val="32"/>
          <w:lang w:eastAsia="zh-CN"/>
        </w:rPr>
        <w:t>住房公积金</w:t>
      </w:r>
      <w:r>
        <w:rPr>
          <w:rFonts w:hint="eastAsia" w:ascii="仿宋" w:hAnsi="仿宋" w:eastAsia="仿宋" w:cs="仿宋"/>
          <w:sz w:val="32"/>
          <w:szCs w:val="32"/>
        </w:rPr>
        <w:t>基数提高。</w:t>
      </w:r>
    </w:p>
    <w:p>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年终结转结余为 0 万元，主要原因是不存在此项内容。</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二、收入预算情况说明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rPr>
        <w:t>年收入预算合计</w:t>
      </w:r>
      <w:r>
        <w:rPr>
          <w:rFonts w:hint="eastAsia" w:ascii="仿宋" w:hAnsi="仿宋" w:eastAsia="仿宋" w:cs="仿宋"/>
          <w:sz w:val="32"/>
          <w:szCs w:val="32"/>
          <w:lang w:val="en-US" w:eastAsia="zh-CN"/>
        </w:rPr>
        <w:t>282.09</w:t>
      </w:r>
      <w:r>
        <w:rPr>
          <w:rFonts w:hint="eastAsia" w:ascii="仿宋" w:hAnsi="仿宋" w:eastAsia="仿宋" w:cs="仿宋"/>
          <w:sz w:val="32"/>
          <w:szCs w:val="32"/>
        </w:rPr>
        <w:t>万元，包括本年收入</w:t>
      </w:r>
      <w:r>
        <w:rPr>
          <w:rFonts w:hint="eastAsia" w:ascii="仿宋" w:hAnsi="仿宋" w:eastAsia="仿宋" w:cs="仿宋"/>
          <w:sz w:val="32"/>
          <w:szCs w:val="32"/>
          <w:lang w:val="en-US" w:eastAsia="zh-CN"/>
        </w:rPr>
        <w:t>271.72</w:t>
      </w:r>
      <w:r>
        <w:rPr>
          <w:rFonts w:hint="eastAsia" w:ascii="仿宋" w:hAnsi="仿宋" w:eastAsia="仿宋" w:cs="仿宋"/>
          <w:sz w:val="32"/>
          <w:szCs w:val="32"/>
        </w:rPr>
        <w:t>万元，上年结转结余</w:t>
      </w:r>
      <w:r>
        <w:rPr>
          <w:rFonts w:hint="eastAsia" w:ascii="仿宋" w:hAnsi="仿宋" w:eastAsia="仿宋" w:cs="仿宋"/>
          <w:sz w:val="32"/>
          <w:szCs w:val="32"/>
          <w:lang w:val="en-US" w:eastAsia="zh-CN"/>
        </w:rPr>
        <w:t>10.37</w:t>
      </w:r>
      <w:r>
        <w:rPr>
          <w:rFonts w:hint="eastAsia" w:ascii="仿宋" w:hAnsi="仿宋" w:eastAsia="仿宋" w:cs="仿宋"/>
          <w:sz w:val="32"/>
          <w:szCs w:val="32"/>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本年一般公共预算收入</w:t>
      </w:r>
      <w:r>
        <w:rPr>
          <w:rFonts w:hint="eastAsia" w:ascii="仿宋" w:hAnsi="仿宋" w:eastAsia="仿宋" w:cs="仿宋"/>
          <w:sz w:val="32"/>
          <w:szCs w:val="32"/>
          <w:lang w:val="en-US" w:eastAsia="zh-CN"/>
        </w:rPr>
        <w:t>271.72</w:t>
      </w:r>
      <w:r>
        <w:rPr>
          <w:rFonts w:hint="eastAsia" w:ascii="仿宋" w:hAnsi="仿宋" w:eastAsia="仿宋" w:cs="仿宋"/>
          <w:sz w:val="32"/>
          <w:szCs w:val="32"/>
        </w:rPr>
        <w:t>万元，占</w:t>
      </w:r>
      <w:r>
        <w:rPr>
          <w:rFonts w:hint="eastAsia" w:ascii="仿宋" w:hAnsi="仿宋" w:eastAsia="仿宋" w:cs="仿宋"/>
          <w:sz w:val="32"/>
          <w:szCs w:val="32"/>
          <w:lang w:val="en-US" w:eastAsia="zh-CN"/>
        </w:rPr>
        <w:t>96.32</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本年政府性基金预算收入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本年国有资本经营预算收入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本年财政专户管理资金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本年事业单位经营收入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上年结转结余的一般公共预算收入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ab/>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上年结转结余的政府性基金预算收入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上年结转结余的国有资本经营预算收入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0</w:t>
      </w:r>
      <w:r>
        <w:rPr>
          <w:rFonts w:hint="eastAsia" w:ascii="仿宋" w:hAnsi="仿宋" w:eastAsia="仿宋" w:cs="仿宋"/>
          <w:sz w:val="32"/>
          <w:szCs w:val="32"/>
        </w:rPr>
        <w:t>占%；</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上年结转结余的财政专户管理资金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上年结转结余的单位资金</w:t>
      </w:r>
      <w:r>
        <w:rPr>
          <w:rFonts w:hint="eastAsia" w:ascii="仿宋" w:hAnsi="仿宋" w:eastAsia="仿宋" w:cs="仿宋"/>
          <w:sz w:val="32"/>
          <w:szCs w:val="32"/>
          <w:lang w:val="en-US" w:eastAsia="zh-CN"/>
        </w:rPr>
        <w:t>10.37</w:t>
      </w:r>
      <w:r>
        <w:rPr>
          <w:rFonts w:hint="eastAsia" w:ascii="仿宋" w:hAnsi="仿宋" w:eastAsia="仿宋" w:cs="仿宋"/>
          <w:sz w:val="32"/>
          <w:szCs w:val="32"/>
        </w:rPr>
        <w:t>万元，占</w:t>
      </w:r>
      <w:r>
        <w:rPr>
          <w:rFonts w:hint="eastAsia" w:ascii="仿宋" w:hAnsi="仿宋" w:eastAsia="仿宋" w:cs="仿宋"/>
          <w:sz w:val="32"/>
          <w:szCs w:val="32"/>
          <w:lang w:val="en-US" w:eastAsia="zh-CN"/>
        </w:rPr>
        <w:t>3.68</w:t>
      </w:r>
      <w:r>
        <w:rPr>
          <w:rFonts w:hint="eastAsia" w:ascii="仿宋" w:hAnsi="仿宋" w:eastAsia="仿宋" w:cs="仿宋"/>
          <w:sz w:val="32"/>
          <w:szCs w:val="32"/>
        </w:rPr>
        <w:t>%</w:t>
      </w:r>
      <w:r>
        <w:rPr>
          <w:rFonts w:hint="eastAsia" w:ascii="仿宋" w:hAnsi="仿宋" w:eastAsia="仿宋" w:cs="仿宋"/>
          <w:sz w:val="32"/>
          <w:szCs w:val="32"/>
          <w:lang w:eastAsia="zh-CN"/>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三、支出预算情况说明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rPr>
        <w:t>年支出预算合计</w:t>
      </w:r>
      <w:r>
        <w:rPr>
          <w:rFonts w:hint="eastAsia" w:ascii="仿宋" w:hAnsi="仿宋" w:eastAsia="仿宋" w:cs="仿宋"/>
          <w:sz w:val="32"/>
          <w:szCs w:val="32"/>
          <w:lang w:val="en-US" w:eastAsia="zh-CN"/>
        </w:rPr>
        <w:t>282.09</w:t>
      </w:r>
      <w:r>
        <w:rPr>
          <w:rFonts w:hint="eastAsia" w:ascii="仿宋" w:hAnsi="仿宋" w:eastAsia="仿宋" w:cs="仿宋"/>
          <w:sz w:val="32"/>
          <w:szCs w:val="32"/>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252.19</w:t>
      </w:r>
      <w:r>
        <w:rPr>
          <w:rFonts w:hint="eastAsia" w:ascii="仿宋" w:hAnsi="仿宋" w:eastAsia="仿宋" w:cs="仿宋"/>
          <w:sz w:val="32"/>
          <w:szCs w:val="32"/>
        </w:rPr>
        <w:t>万元，占</w:t>
      </w:r>
      <w:r>
        <w:rPr>
          <w:rFonts w:hint="eastAsia" w:ascii="仿宋" w:hAnsi="仿宋" w:eastAsia="仿宋" w:cs="仿宋"/>
          <w:sz w:val="32"/>
          <w:szCs w:val="32"/>
          <w:lang w:val="en-US" w:eastAsia="zh-CN"/>
        </w:rPr>
        <w:t>89.4</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29.9</w:t>
      </w:r>
      <w:r>
        <w:rPr>
          <w:rFonts w:hint="eastAsia" w:ascii="仿宋" w:hAnsi="仿宋" w:eastAsia="仿宋" w:cs="仿宋"/>
          <w:sz w:val="32"/>
          <w:szCs w:val="32"/>
        </w:rPr>
        <w:t>万元，占</w:t>
      </w:r>
      <w:r>
        <w:rPr>
          <w:rFonts w:hint="eastAsia" w:ascii="仿宋" w:hAnsi="仿宋" w:eastAsia="仿宋" w:cs="仿宋"/>
          <w:sz w:val="32"/>
          <w:szCs w:val="32"/>
          <w:lang w:val="en-US" w:eastAsia="zh-CN"/>
        </w:rPr>
        <w:t>10.6</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事业单位经营支出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上缴上级支出</w:t>
      </w:r>
      <w:r>
        <w:rPr>
          <w:rFonts w:hint="eastAsia" w:ascii="仿宋" w:hAnsi="仿宋" w:eastAsia="仿宋" w:cs="仿宋"/>
          <w:sz w:val="32"/>
          <w:szCs w:val="32"/>
        </w:rPr>
        <w:tab/>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四、财政拨款收支预算总体情况说明</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年度财政拨款收、支总预算</w:t>
      </w:r>
      <w:r>
        <w:rPr>
          <w:rFonts w:hint="eastAsia" w:ascii="仿宋" w:hAnsi="仿宋" w:eastAsia="仿宋" w:cs="仿宋"/>
          <w:b w:val="0"/>
          <w:bCs w:val="0"/>
          <w:sz w:val="32"/>
          <w:szCs w:val="32"/>
          <w:lang w:val="en-US" w:eastAsia="zh-CN"/>
        </w:rPr>
        <w:t>282.09</w:t>
      </w:r>
      <w:r>
        <w:rPr>
          <w:rFonts w:hint="eastAsia" w:ascii="仿宋" w:hAnsi="仿宋" w:eastAsia="仿宋" w:cs="仿宋"/>
          <w:sz w:val="32"/>
          <w:szCs w:val="32"/>
          <w:lang w:eastAsia="zh-CN"/>
        </w:rPr>
        <w:t>万元。与上年相比，财政拨款收、支总计各</w:t>
      </w:r>
      <w:r>
        <w:rPr>
          <w:rFonts w:hint="eastAsia" w:ascii="仿宋" w:hAnsi="仿宋" w:eastAsia="仿宋" w:cs="仿宋"/>
          <w:sz w:val="32"/>
          <w:szCs w:val="32"/>
          <w:lang w:val="en-US" w:eastAsia="zh-CN"/>
        </w:rPr>
        <w:t>30.95</w:t>
      </w:r>
      <w:r>
        <w:rPr>
          <w:rFonts w:hint="eastAsia" w:ascii="仿宋" w:hAnsi="仿宋" w:eastAsia="仿宋" w:cs="仿宋"/>
          <w:sz w:val="32"/>
          <w:szCs w:val="32"/>
        </w:rPr>
        <w:t>万元，增</w:t>
      </w:r>
      <w:r>
        <w:rPr>
          <w:rFonts w:hint="eastAsia" w:ascii="仿宋" w:hAnsi="仿宋" w:eastAsia="仿宋" w:cs="仿宋"/>
          <w:sz w:val="32"/>
          <w:szCs w:val="32"/>
          <w:lang w:eastAsia="zh-CN"/>
        </w:rPr>
        <w:t>加</w:t>
      </w:r>
      <w:r>
        <w:rPr>
          <w:rFonts w:hint="eastAsia" w:ascii="仿宋" w:hAnsi="仿宋" w:eastAsia="仿宋" w:cs="仿宋"/>
          <w:sz w:val="32"/>
          <w:szCs w:val="32"/>
          <w:lang w:val="en-US" w:eastAsia="zh-CN"/>
        </w:rPr>
        <w:t>12.32</w:t>
      </w:r>
      <w:r>
        <w:rPr>
          <w:rFonts w:hint="eastAsia" w:ascii="仿宋" w:hAnsi="仿宋" w:eastAsia="仿宋" w:cs="仿宋"/>
          <w:sz w:val="32"/>
          <w:szCs w:val="32"/>
        </w:rPr>
        <w:t>%。</w:t>
      </w:r>
      <w:r>
        <w:rPr>
          <w:rFonts w:hint="eastAsia" w:ascii="仿宋" w:hAnsi="仿宋" w:eastAsia="仿宋" w:cs="仿宋"/>
          <w:sz w:val="32"/>
          <w:szCs w:val="32"/>
          <w:lang w:eastAsia="zh-CN"/>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2人，相应的人员经费增加，同时</w:t>
      </w:r>
      <w:r>
        <w:rPr>
          <w:rFonts w:hint="eastAsia" w:ascii="仿宋" w:hAnsi="仿宋" w:eastAsia="仿宋" w:cs="仿宋"/>
          <w:sz w:val="32"/>
          <w:szCs w:val="32"/>
        </w:rPr>
        <w:t>人员工资调标、绩效增加，缴纳</w:t>
      </w:r>
      <w:r>
        <w:rPr>
          <w:rFonts w:hint="eastAsia" w:ascii="仿宋" w:hAnsi="仿宋" w:eastAsia="仿宋" w:cs="仿宋"/>
          <w:sz w:val="32"/>
          <w:szCs w:val="32"/>
          <w:lang w:eastAsia="zh-CN"/>
        </w:rPr>
        <w:t>保险</w:t>
      </w:r>
      <w:r>
        <w:rPr>
          <w:rFonts w:hint="eastAsia" w:ascii="仿宋" w:hAnsi="仿宋" w:eastAsia="仿宋" w:cs="仿宋"/>
          <w:sz w:val="32"/>
          <w:szCs w:val="32"/>
        </w:rPr>
        <w:t>基数提高。</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五、一般公共预算支出预算情况说明</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rPr>
        <w:t>年一般公共预算财政拨款支出预算</w:t>
      </w:r>
      <w:r>
        <w:rPr>
          <w:rFonts w:hint="eastAsia" w:ascii="仿宋" w:hAnsi="仿宋" w:eastAsia="仿宋" w:cs="仿宋"/>
          <w:sz w:val="32"/>
          <w:szCs w:val="32"/>
          <w:lang w:val="en-US" w:eastAsia="zh-CN"/>
        </w:rPr>
        <w:t>282.09</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30.95</w:t>
      </w:r>
      <w:r>
        <w:rPr>
          <w:rFonts w:hint="eastAsia" w:ascii="仿宋" w:hAnsi="仿宋" w:eastAsia="仿宋" w:cs="仿宋"/>
          <w:sz w:val="32"/>
          <w:szCs w:val="32"/>
          <w:lang w:eastAsia="zh-CN"/>
        </w:rPr>
        <w:t>万元，增长</w:t>
      </w:r>
      <w:r>
        <w:rPr>
          <w:rFonts w:hint="eastAsia" w:ascii="仿宋" w:hAnsi="仿宋" w:eastAsia="仿宋" w:cs="仿宋"/>
          <w:sz w:val="32"/>
          <w:szCs w:val="32"/>
          <w:lang w:val="en-US" w:eastAsia="zh-CN"/>
        </w:rPr>
        <w:t>12.32</w:t>
      </w:r>
      <w:r>
        <w:rPr>
          <w:rFonts w:hint="eastAsia" w:ascii="仿宋" w:hAnsi="仿宋" w:eastAsia="仿宋" w:cs="仿宋"/>
          <w:sz w:val="32"/>
          <w:szCs w:val="32"/>
          <w:lang w:eastAsia="zh-CN"/>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2人，相应的人员经费增加，同时</w:t>
      </w:r>
      <w:r>
        <w:rPr>
          <w:rFonts w:hint="eastAsia" w:ascii="仿宋" w:hAnsi="仿宋" w:eastAsia="仿宋" w:cs="仿宋"/>
          <w:sz w:val="32"/>
          <w:szCs w:val="32"/>
        </w:rPr>
        <w:t>人员工资调标、绩效增加，缴纳</w:t>
      </w:r>
      <w:r>
        <w:rPr>
          <w:rFonts w:hint="eastAsia" w:ascii="仿宋" w:hAnsi="仿宋" w:eastAsia="仿宋" w:cs="仿宋"/>
          <w:sz w:val="32"/>
          <w:szCs w:val="32"/>
          <w:lang w:eastAsia="zh-CN"/>
        </w:rPr>
        <w:t>保险</w:t>
      </w:r>
      <w:r>
        <w:rPr>
          <w:rFonts w:hint="eastAsia" w:ascii="仿宋" w:hAnsi="仿宋" w:eastAsia="仿宋" w:cs="仿宋"/>
          <w:sz w:val="32"/>
          <w:szCs w:val="32"/>
        </w:rPr>
        <w:t>基数提高。</w:t>
      </w:r>
    </w:p>
    <w:p>
      <w:pPr>
        <w:pStyle w:val="6"/>
        <w:keepNext w:val="0"/>
        <w:keepLines w:val="0"/>
        <w:pageBreakBefore w:val="0"/>
        <w:widowControl w:val="0"/>
        <w:kinsoku/>
        <w:wordWrap/>
        <w:overflowPunct/>
        <w:topLinePunct w:val="0"/>
        <w:autoSpaceDE w:val="0"/>
        <w:autoSpaceDN w:val="0"/>
        <w:bidi w:val="0"/>
        <w:adjustRightInd/>
        <w:snapToGrid/>
        <w:spacing w:line="600" w:lineRule="exact"/>
        <w:ind w:firstLine="321" w:firstLineChars="100"/>
        <w:textAlignment w:val="auto"/>
        <w:rPr>
          <w:rFonts w:hint="eastAsia" w:ascii="仿宋" w:hAnsi="仿宋" w:eastAsia="仿宋" w:cs="仿宋"/>
        </w:rPr>
      </w:pPr>
      <w:r>
        <w:rPr>
          <w:rFonts w:hint="eastAsia" w:ascii="仿宋" w:hAnsi="仿宋" w:eastAsia="仿宋" w:cs="仿宋"/>
        </w:rPr>
        <w:t>（一）</w:t>
      </w:r>
      <w:r>
        <w:rPr>
          <w:rFonts w:hint="eastAsia" w:ascii="仿宋" w:hAnsi="仿宋" w:eastAsia="仿宋" w:cs="仿宋"/>
          <w:w w:val="95"/>
        </w:rPr>
        <w:t>社会保障和就业（类）</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both"/>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1．民政管理事务（款）机关服务（项）年初预算 227.82万元，与上年相比增加23.59万元，增加11.55%。变动原因：</w:t>
      </w:r>
      <w:r>
        <w:rPr>
          <w:rFonts w:hint="eastAsia" w:ascii="仿宋" w:hAnsi="仿宋" w:eastAsia="仿宋" w:cs="仿宋"/>
          <w:spacing w:val="-1"/>
          <w:sz w:val="32"/>
          <w:szCs w:val="32"/>
          <w:lang w:val="zh-CN" w:eastAsia="zh-CN"/>
        </w:rPr>
        <w:t>新考入</w:t>
      </w:r>
      <w:r>
        <w:rPr>
          <w:rFonts w:hint="eastAsia" w:ascii="仿宋" w:hAnsi="仿宋" w:eastAsia="仿宋" w:cs="仿宋"/>
          <w:spacing w:val="-1"/>
          <w:sz w:val="32"/>
          <w:szCs w:val="32"/>
          <w:lang w:val="en-US" w:eastAsia="zh-CN"/>
        </w:rPr>
        <w:t>2人，相应的人员经费增加，同时人员工资调标、绩效增加，缴纳保险基数提高。</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both"/>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2.行政事业单位养老支出（款）事业单位离退休（项）。年初预算3.88万元，与上年相比增加1.12万元，增加40.58%。变动原因：增发离退休人员边远地区补贴。</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both"/>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3.行政事业单位养老支出（款）机关事业单位基本养老保险缴费支出（项）。年初预算23.03万元，与上年相比增加2.87万元，增加14.24%，变动原因：人员工资调标、绩效增加，社保缴纳基数提高。</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9" w:firstLineChars="200"/>
        <w:jc w:val="both"/>
        <w:textAlignment w:val="auto"/>
        <w:rPr>
          <w:rFonts w:hint="eastAsia" w:ascii="仿宋" w:hAnsi="仿宋" w:eastAsia="仿宋" w:cs="仿宋"/>
          <w:b/>
          <w:bCs/>
          <w:spacing w:val="-1"/>
          <w:sz w:val="32"/>
          <w:szCs w:val="32"/>
          <w:lang w:val="en-US" w:eastAsia="zh-CN"/>
        </w:rPr>
      </w:pPr>
      <w:r>
        <w:rPr>
          <w:rFonts w:hint="eastAsia" w:ascii="仿宋" w:hAnsi="仿宋" w:eastAsia="仿宋" w:cs="仿宋"/>
          <w:b/>
          <w:bCs/>
          <w:spacing w:val="-1"/>
          <w:sz w:val="32"/>
          <w:szCs w:val="32"/>
          <w:lang w:val="en-US" w:eastAsia="zh-CN"/>
        </w:rPr>
        <w:t>（二）卫生健康（类）</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both"/>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1．行政事业单位医疗（款）事业单位医疗（项）。年初预算 9.39万元，与上年相比增加1.17万元，增加14.23%。变动原因：考入2人，社保缴纳基数提高。</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9" w:firstLineChars="200"/>
        <w:jc w:val="both"/>
        <w:textAlignment w:val="auto"/>
        <w:rPr>
          <w:rFonts w:hint="eastAsia" w:ascii="仿宋" w:hAnsi="仿宋" w:eastAsia="仿宋" w:cs="仿宋"/>
          <w:spacing w:val="-1"/>
          <w:sz w:val="32"/>
          <w:szCs w:val="32"/>
          <w:lang w:val="en-US" w:eastAsia="zh-CN"/>
        </w:rPr>
      </w:pPr>
      <w:r>
        <w:rPr>
          <w:rFonts w:hint="eastAsia" w:ascii="仿宋" w:hAnsi="仿宋" w:eastAsia="仿宋" w:cs="仿宋"/>
          <w:b/>
          <w:bCs/>
          <w:spacing w:val="-1"/>
          <w:sz w:val="32"/>
          <w:szCs w:val="32"/>
          <w:lang w:val="en-US" w:eastAsia="zh-CN"/>
        </w:rPr>
        <w:t>（三）住房保障（类）</w:t>
      </w:r>
    </w:p>
    <w:p>
      <w:pPr>
        <w:pStyle w:val="10"/>
        <w:pageBreakBefore w:val="0"/>
        <w:tabs>
          <w:tab w:val="left" w:pos="1389"/>
          <w:tab w:val="left" w:pos="4911"/>
          <w:tab w:val="left" w:pos="5900"/>
        </w:tabs>
        <w:kinsoku/>
        <w:wordWrap/>
        <w:overflowPunct/>
        <w:topLinePunct w:val="0"/>
        <w:bidi w:val="0"/>
        <w:spacing w:after="0" w:line="600" w:lineRule="exact"/>
        <w:ind w:firstLine="636" w:firstLineChars="200"/>
        <w:rPr>
          <w:rFonts w:hint="eastAsia" w:ascii="仿宋" w:hAnsi="仿宋" w:eastAsia="仿宋" w:cs="仿宋"/>
          <w:spacing w:val="-1"/>
          <w:sz w:val="32"/>
          <w:szCs w:val="32"/>
          <w:lang w:val="zh-CN" w:eastAsia="zh-CN"/>
        </w:rPr>
      </w:pPr>
      <w:r>
        <w:rPr>
          <w:rFonts w:hint="eastAsia" w:ascii="仿宋" w:hAnsi="仿宋" w:eastAsia="仿宋" w:cs="仿宋"/>
          <w:spacing w:val="-1"/>
          <w:sz w:val="32"/>
          <w:szCs w:val="32"/>
          <w:lang w:val="zh-CN" w:eastAsia="zh-CN"/>
        </w:rPr>
        <w:t>1．住房改革支出（款）住房公积金支出（项）。年初预算</w:t>
      </w:r>
      <w:r>
        <w:rPr>
          <w:rFonts w:hint="eastAsia" w:ascii="仿宋" w:hAnsi="仿宋" w:eastAsia="仿宋" w:cs="仿宋"/>
          <w:spacing w:val="-1"/>
          <w:sz w:val="32"/>
          <w:szCs w:val="32"/>
          <w:lang w:val="en-US" w:eastAsia="zh-CN"/>
        </w:rPr>
        <w:t>17.96</w:t>
      </w:r>
      <w:r>
        <w:rPr>
          <w:rFonts w:hint="eastAsia" w:ascii="仿宋" w:hAnsi="仿宋" w:eastAsia="仿宋" w:cs="仿宋"/>
          <w:spacing w:val="-1"/>
          <w:sz w:val="32"/>
          <w:szCs w:val="32"/>
          <w:lang w:val="zh-CN" w:eastAsia="zh-CN"/>
        </w:rPr>
        <w:t>万元，与上年相比增加</w:t>
      </w:r>
      <w:r>
        <w:rPr>
          <w:rFonts w:hint="eastAsia" w:ascii="仿宋" w:hAnsi="仿宋" w:eastAsia="仿宋" w:cs="仿宋"/>
          <w:spacing w:val="-1"/>
          <w:sz w:val="32"/>
          <w:szCs w:val="32"/>
          <w:lang w:val="en-US" w:eastAsia="zh-CN"/>
        </w:rPr>
        <w:t>2.19</w:t>
      </w:r>
      <w:r>
        <w:rPr>
          <w:rFonts w:hint="eastAsia" w:ascii="仿宋" w:hAnsi="仿宋" w:eastAsia="仿宋" w:cs="仿宋"/>
          <w:spacing w:val="-1"/>
          <w:sz w:val="32"/>
          <w:szCs w:val="32"/>
          <w:lang w:val="zh-CN" w:eastAsia="zh-CN"/>
        </w:rPr>
        <w:t>万元，</w:t>
      </w:r>
      <w:r>
        <w:rPr>
          <w:rFonts w:hint="eastAsia" w:ascii="仿宋" w:hAnsi="仿宋" w:eastAsia="仿宋" w:cs="仿宋"/>
          <w:sz w:val="32"/>
          <w:szCs w:val="32"/>
        </w:rPr>
        <w:t>增加</w:t>
      </w:r>
      <w:r>
        <w:rPr>
          <w:rFonts w:hint="eastAsia" w:ascii="仿宋" w:hAnsi="仿宋" w:eastAsia="仿宋" w:cs="仿宋"/>
          <w:sz w:val="32"/>
          <w:szCs w:val="32"/>
          <w:lang w:val="en-US" w:eastAsia="zh-CN"/>
        </w:rPr>
        <w:t>13.89</w:t>
      </w:r>
      <w:r>
        <w:rPr>
          <w:rFonts w:hint="eastAsia" w:ascii="仿宋" w:hAnsi="仿宋" w:eastAsia="仿宋" w:cs="仿宋"/>
          <w:sz w:val="32"/>
          <w:szCs w:val="32"/>
        </w:rPr>
        <w:t>%。主要原因是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1人，</w:t>
      </w:r>
      <w:r>
        <w:rPr>
          <w:rFonts w:hint="eastAsia" w:ascii="仿宋" w:hAnsi="仿宋" w:eastAsia="仿宋" w:cs="仿宋"/>
          <w:sz w:val="32"/>
          <w:szCs w:val="32"/>
        </w:rPr>
        <w:t>缴纳</w:t>
      </w:r>
      <w:r>
        <w:rPr>
          <w:rFonts w:hint="eastAsia" w:ascii="仿宋" w:hAnsi="仿宋" w:eastAsia="仿宋" w:cs="仿宋"/>
          <w:sz w:val="32"/>
          <w:szCs w:val="32"/>
          <w:lang w:eastAsia="zh-CN"/>
        </w:rPr>
        <w:t>住房公积金</w:t>
      </w:r>
      <w:r>
        <w:rPr>
          <w:rFonts w:hint="eastAsia" w:ascii="仿宋" w:hAnsi="仿宋" w:eastAsia="仿宋" w:cs="仿宋"/>
          <w:sz w:val="32"/>
          <w:szCs w:val="32"/>
        </w:rPr>
        <w:t>基数提高。</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六、一般公共预算基本支出预算情况说明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rPr>
        <w:t>年度一般公共预算财政拨款基本支出预算</w:t>
      </w:r>
      <w:r>
        <w:rPr>
          <w:rFonts w:hint="eastAsia" w:ascii="仿宋" w:hAnsi="仿宋" w:eastAsia="仿宋" w:cs="仿宋"/>
          <w:sz w:val="32"/>
          <w:szCs w:val="32"/>
          <w:lang w:val="en-US" w:eastAsia="zh-CN"/>
        </w:rPr>
        <w:t>252.19</w:t>
      </w:r>
      <w:r>
        <w:rPr>
          <w:rFonts w:hint="eastAsia" w:ascii="仿宋" w:hAnsi="仿宋" w:eastAsia="仿宋" w:cs="仿宋"/>
          <w:sz w:val="32"/>
          <w:szCs w:val="32"/>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hint="eastAsia" w:ascii="仿宋" w:hAnsi="仿宋" w:eastAsia="仿宋" w:cs="仿宋"/>
          <w:sz w:val="32"/>
          <w:szCs w:val="32"/>
        </w:rPr>
      </w:pPr>
      <w:r>
        <w:rPr>
          <w:rFonts w:hint="default" w:ascii="Times New Roman" w:hAnsi="Times New Roman" w:eastAsia="仿宋_GB2312" w:cs="Times New Roman"/>
          <w:b/>
          <w:bCs/>
          <w:sz w:val="32"/>
          <w:szCs w:val="32"/>
        </w:rPr>
        <w:t>（一）人员经费</w:t>
      </w:r>
      <w:r>
        <w:rPr>
          <w:rFonts w:hint="eastAsia" w:eastAsia="仿宋_GB2312" w:cs="Times New Roman"/>
          <w:b/>
          <w:bCs/>
          <w:sz w:val="32"/>
          <w:szCs w:val="32"/>
          <w:lang w:val="en-US" w:eastAsia="zh-CN"/>
        </w:rPr>
        <w:t>243.79</w:t>
      </w:r>
      <w:r>
        <w:rPr>
          <w:rFonts w:hint="default" w:ascii="Times New Roman" w:hAnsi="Times New Roman" w:eastAsia="仿宋_GB2312" w:cs="Times New Roman"/>
          <w:b/>
          <w:bCs/>
          <w:sz w:val="32"/>
          <w:szCs w:val="32"/>
        </w:rPr>
        <w:t>万元</w:t>
      </w:r>
      <w:r>
        <w:rPr>
          <w:rFonts w:hint="default" w:ascii="Times New Roman" w:hAnsi="Times New Roman" w:eastAsia="仿宋_GB2312" w:cs="Times New Roman"/>
          <w:sz w:val="32"/>
          <w:szCs w:val="32"/>
        </w:rPr>
        <w:t>。</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68.34万元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20.7万元</w:t>
      </w:r>
      <w:r>
        <w:rPr>
          <w:rFonts w:hint="eastAsia" w:ascii="仿宋" w:hAnsi="仿宋" w:eastAsia="仿宋" w:cs="仿宋"/>
          <w:sz w:val="32"/>
          <w:szCs w:val="32"/>
        </w:rPr>
        <w:t>、奖金</w:t>
      </w:r>
      <w:r>
        <w:rPr>
          <w:rFonts w:hint="eastAsia" w:ascii="仿宋" w:hAnsi="仿宋" w:eastAsia="仿宋" w:cs="仿宋"/>
          <w:sz w:val="32"/>
          <w:szCs w:val="32"/>
          <w:lang w:val="en-US" w:eastAsia="zh-CN"/>
        </w:rPr>
        <w:t>31.35万元、绩效工资59.38万元、机关事业单位基本养老保险缴费23.03万元、职工基本医疗保险缴费9.39万元、其他社会保障缴费3.28万元、住房公积金17.96万元、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2.88万元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3.6万元、</w:t>
      </w:r>
      <w:r>
        <w:rPr>
          <w:rFonts w:hint="eastAsia" w:ascii="仿宋" w:hAnsi="仿宋" w:eastAsia="仿宋" w:cs="仿宋"/>
          <w:sz w:val="32"/>
          <w:szCs w:val="32"/>
        </w:rPr>
        <w:t>退休费</w:t>
      </w:r>
      <w:r>
        <w:rPr>
          <w:rFonts w:hint="eastAsia" w:ascii="仿宋" w:hAnsi="仿宋" w:eastAsia="仿宋" w:cs="仿宋"/>
          <w:sz w:val="32"/>
          <w:szCs w:val="32"/>
          <w:lang w:val="en-US" w:eastAsia="zh-CN"/>
        </w:rPr>
        <w:t>3.88万元</w:t>
      </w:r>
      <w:r>
        <w:rPr>
          <w:rFonts w:hint="eastAsia" w:ascii="仿宋" w:hAnsi="仿宋" w:eastAsia="仿宋" w:cs="仿宋"/>
          <w:sz w:val="32"/>
          <w:szCs w:val="32"/>
        </w:rPr>
        <w:t>。</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hint="eastAsia" w:ascii="仿宋" w:hAnsi="仿宋" w:eastAsia="仿宋" w:cs="仿宋"/>
          <w:sz w:val="32"/>
          <w:szCs w:val="32"/>
        </w:rPr>
      </w:pPr>
      <w:r>
        <w:rPr>
          <w:rFonts w:hint="default" w:ascii="Times New Roman" w:hAnsi="Times New Roman" w:eastAsia="仿宋_GB2312" w:cs="Times New Roman"/>
          <w:b/>
          <w:bCs/>
          <w:sz w:val="32"/>
          <w:szCs w:val="32"/>
        </w:rPr>
        <w:t>（二）公用经费</w:t>
      </w:r>
      <w:r>
        <w:rPr>
          <w:rFonts w:hint="eastAsia" w:eastAsia="仿宋_GB2312" w:cs="Times New Roman"/>
          <w:b/>
          <w:bCs/>
          <w:sz w:val="32"/>
          <w:szCs w:val="32"/>
          <w:lang w:val="en-US" w:eastAsia="zh-CN"/>
        </w:rPr>
        <w:t>8.40</w:t>
      </w:r>
      <w:r>
        <w:rPr>
          <w:rFonts w:hint="default" w:ascii="Times New Roman" w:hAnsi="Times New Roman" w:eastAsia="仿宋_GB2312" w:cs="Times New Roman"/>
          <w:b/>
          <w:bCs/>
          <w:sz w:val="32"/>
          <w:szCs w:val="32"/>
        </w:rPr>
        <w:t>万元</w:t>
      </w:r>
      <w:r>
        <w:rPr>
          <w:rFonts w:hint="default" w:ascii="Times New Roman" w:hAnsi="Times New Roman" w:eastAsia="仿宋_GB2312" w:cs="Times New Roman"/>
          <w:sz w:val="32"/>
          <w:szCs w:val="32"/>
        </w:rPr>
        <w:t>。</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3.65万元</w:t>
      </w:r>
      <w:r>
        <w:rPr>
          <w:rFonts w:hint="eastAsia" w:ascii="仿宋" w:hAnsi="仿宋" w:eastAsia="仿宋" w:cs="仿宋"/>
          <w:sz w:val="32"/>
          <w:szCs w:val="32"/>
        </w:rPr>
        <w:t>、</w:t>
      </w:r>
      <w:r>
        <w:rPr>
          <w:rFonts w:hint="eastAsia" w:ascii="仿宋" w:hAnsi="仿宋" w:eastAsia="仿宋" w:cs="仿宋"/>
          <w:sz w:val="32"/>
          <w:szCs w:val="32"/>
          <w:lang w:eastAsia="zh-CN"/>
        </w:rPr>
        <w:t>取暖</w:t>
      </w:r>
      <w:r>
        <w:rPr>
          <w:rFonts w:hint="eastAsia" w:ascii="仿宋" w:hAnsi="仿宋" w:eastAsia="仿宋" w:cs="仿宋"/>
          <w:sz w:val="32"/>
          <w:szCs w:val="32"/>
        </w:rPr>
        <w:t>费</w:t>
      </w:r>
      <w:r>
        <w:rPr>
          <w:rFonts w:hint="eastAsia" w:ascii="仿宋" w:hAnsi="仿宋" w:eastAsia="仿宋" w:cs="仿宋"/>
          <w:sz w:val="32"/>
          <w:szCs w:val="32"/>
          <w:lang w:val="en-US" w:eastAsia="zh-CN"/>
        </w:rPr>
        <w:t>1.66万元</w:t>
      </w:r>
      <w:r>
        <w:rPr>
          <w:rFonts w:hint="eastAsia" w:ascii="仿宋" w:hAnsi="仿宋" w:eastAsia="仿宋" w:cs="仿宋"/>
          <w:sz w:val="32"/>
          <w:szCs w:val="32"/>
        </w:rPr>
        <w:t>、</w:t>
      </w:r>
      <w:r>
        <w:rPr>
          <w:rFonts w:hint="eastAsia" w:ascii="仿宋" w:hAnsi="仿宋" w:eastAsia="仿宋" w:cs="仿宋"/>
          <w:sz w:val="32"/>
          <w:szCs w:val="32"/>
          <w:lang w:eastAsia="zh-CN"/>
        </w:rPr>
        <w:t>委托业务</w:t>
      </w:r>
      <w:r>
        <w:rPr>
          <w:rFonts w:hint="eastAsia" w:ascii="仿宋" w:hAnsi="仿宋" w:eastAsia="仿宋" w:cs="仿宋"/>
          <w:sz w:val="32"/>
          <w:szCs w:val="32"/>
        </w:rPr>
        <w:t>费</w:t>
      </w:r>
      <w:r>
        <w:rPr>
          <w:rFonts w:hint="eastAsia" w:ascii="仿宋" w:hAnsi="仿宋" w:eastAsia="仿宋" w:cs="仿宋"/>
          <w:sz w:val="32"/>
          <w:szCs w:val="32"/>
          <w:lang w:val="en-US" w:eastAsia="zh-CN"/>
        </w:rPr>
        <w:t>0.47万元</w:t>
      </w:r>
      <w:r>
        <w:rPr>
          <w:rFonts w:hint="eastAsia" w:ascii="仿宋" w:hAnsi="仿宋" w:eastAsia="仿宋" w:cs="仿宋"/>
          <w:sz w:val="32"/>
          <w:szCs w:val="32"/>
        </w:rPr>
        <w:t>、</w:t>
      </w:r>
      <w:r>
        <w:rPr>
          <w:rFonts w:hint="eastAsia" w:ascii="仿宋" w:hAnsi="仿宋" w:eastAsia="仿宋" w:cs="仿宋"/>
          <w:sz w:val="32"/>
          <w:szCs w:val="32"/>
          <w:lang w:eastAsia="zh-CN"/>
        </w:rPr>
        <w:t>公务用车维护</w:t>
      </w:r>
      <w:r>
        <w:rPr>
          <w:rFonts w:hint="eastAsia" w:ascii="仿宋" w:hAnsi="仿宋" w:eastAsia="仿宋" w:cs="仿宋"/>
          <w:sz w:val="32"/>
          <w:szCs w:val="32"/>
        </w:rPr>
        <w:t>费</w:t>
      </w:r>
      <w:r>
        <w:rPr>
          <w:rFonts w:hint="eastAsia" w:ascii="仿宋" w:hAnsi="仿宋" w:eastAsia="仿宋" w:cs="仿宋"/>
          <w:sz w:val="32"/>
          <w:szCs w:val="32"/>
          <w:lang w:val="en-US" w:eastAsia="zh-CN"/>
        </w:rPr>
        <w:t>2.5万元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0.12万元</w:t>
      </w:r>
      <w:r>
        <w:rPr>
          <w:rFonts w:hint="eastAsia" w:ascii="仿宋" w:hAnsi="仿宋" w:eastAsia="仿宋" w:cs="仿宋"/>
          <w:sz w:val="32"/>
          <w:szCs w:val="32"/>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七、一般公共预算“三公”经费支出预算情况说明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lang w:val="en-US" w:eastAsia="zh-CN"/>
        </w:rPr>
        <w:t>2024</w:t>
      </w:r>
      <w:r>
        <w:rPr>
          <w:rFonts w:hint="eastAsia" w:ascii="仿宋" w:hAnsi="仿宋" w:eastAsia="仿宋" w:cs="仿宋"/>
          <w:sz w:val="32"/>
          <w:szCs w:val="32"/>
        </w:rPr>
        <w:t>年度一般公共预算拨款安排的“三公”经费预算支出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万元，其中因公出国（境）费支出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%；公务用车购置及运行维护费支出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100</w:t>
      </w:r>
      <w:r>
        <w:rPr>
          <w:rFonts w:hint="eastAsia" w:ascii="仿宋" w:hAnsi="仿宋" w:eastAsia="仿宋" w:cs="仿宋"/>
          <w:sz w:val="32"/>
          <w:szCs w:val="32"/>
        </w:rPr>
        <w:t>%；公务接待费支出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0</w:t>
      </w:r>
      <w:r>
        <w:rPr>
          <w:rFonts w:hint="eastAsia" w:ascii="仿宋" w:hAnsi="仿宋" w:eastAsia="仿宋" w:cs="仿宋"/>
          <w:sz w:val="32"/>
          <w:szCs w:val="32"/>
        </w:rPr>
        <w:t>%。具体情况如下：</w:t>
      </w:r>
    </w:p>
    <w:p>
      <w:pPr>
        <w:pStyle w:val="10"/>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一般公共预算拨款安排的“三公”经费预算支出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万元，比上年预算增加 0万元，增长 0 %；其中：</w:t>
      </w:r>
    </w:p>
    <w:p>
      <w:pPr>
        <w:pStyle w:val="10"/>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1.因公出国（境）费预算支出 0 万元，比上年预算增加0 万元，主要原因不存在此项内容。</w:t>
      </w:r>
    </w:p>
    <w:p>
      <w:pPr>
        <w:pStyle w:val="10"/>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2.公务用车购置及运行维护费预算支出</w:t>
      </w:r>
      <w:r>
        <w:rPr>
          <w:rFonts w:hint="eastAsia" w:ascii="仿宋" w:hAnsi="仿宋" w:eastAsia="仿宋" w:cs="仿宋"/>
          <w:sz w:val="32"/>
          <w:szCs w:val="32"/>
          <w:lang w:val="en-US" w:eastAsia="zh-CN"/>
        </w:rPr>
        <w:t>2.5</w:t>
      </w:r>
      <w:r>
        <w:rPr>
          <w:rFonts w:hint="eastAsia" w:ascii="仿宋" w:hAnsi="仿宋" w:eastAsia="仿宋" w:cs="仿宋"/>
          <w:sz w:val="32"/>
          <w:szCs w:val="32"/>
        </w:rPr>
        <w:t xml:space="preserve"> 万元。其中：</w:t>
      </w:r>
    </w:p>
    <w:p>
      <w:pPr>
        <w:pStyle w:val="10"/>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（1）公务用车购置预算支出 0 万元，比上年预算增加 0 万元，主要原因不存在此项内容。</w:t>
      </w:r>
    </w:p>
    <w:p>
      <w:pPr>
        <w:pStyle w:val="10"/>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（2）公务用车运行维护费预算支出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万元，比上年预算增加 0万元，主要原因本年公务用车运行维护费无变动。</w:t>
      </w:r>
    </w:p>
    <w:p>
      <w:pPr>
        <w:pStyle w:val="10"/>
        <w:pageBreakBefore w:val="0"/>
        <w:kinsoku/>
        <w:wordWrap/>
        <w:overflowPunct/>
        <w:topLinePunct w:val="0"/>
        <w:bidi w:val="0"/>
        <w:spacing w:after="0" w:line="600" w:lineRule="exact"/>
        <w:ind w:firstLine="640" w:firstLineChars="200"/>
        <w:rPr>
          <w:rFonts w:hint="eastAsia" w:ascii="Times New Roman" w:hAnsi="Times New Roman" w:eastAsia="仿宋_GB2312" w:cs="Times New Roman"/>
          <w:i/>
          <w:iCs/>
          <w:sz w:val="32"/>
          <w:szCs w:val="32"/>
          <w:highlight w:val="yellow"/>
          <w:lang w:eastAsia="zh-CN"/>
        </w:rPr>
      </w:pPr>
      <w:r>
        <w:rPr>
          <w:rFonts w:hint="eastAsia" w:ascii="仿宋" w:hAnsi="仿宋" w:eastAsia="仿宋" w:cs="仿宋"/>
          <w:sz w:val="32"/>
          <w:szCs w:val="32"/>
        </w:rPr>
        <w:t>3.公务接待费预算支出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万元，比上年预算增加 0 万元，主要原因不存在此项内容</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八、政府性基金预算支出预算情况说明</w:t>
      </w:r>
    </w:p>
    <w:p>
      <w:pPr>
        <w:pStyle w:val="10"/>
        <w:pageBreakBefore w:val="0"/>
        <w:kinsoku/>
        <w:wordWrap/>
        <w:overflowPunct/>
        <w:topLinePunct w:val="0"/>
        <w:bidi w:val="0"/>
        <w:spacing w:after="0" w:line="600" w:lineRule="exact"/>
        <w:ind w:left="17" w:leftChars="8"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年政府性基金支出预算支出 0 万元。与上年相比增加0 万元，增加0%。主要原因是本年无政府性基金预算支出预算拨款支出。</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九、国有资本经营预算支出预算情况说明</w:t>
      </w:r>
    </w:p>
    <w:p>
      <w:pPr>
        <w:pageBreakBefore w:val="0"/>
        <w:kinsoku/>
        <w:wordWrap/>
        <w:overflowPunct/>
        <w:topLinePunct w:val="0"/>
        <w:bidi w:val="0"/>
        <w:spacing w:line="600" w:lineRule="exact"/>
        <w:ind w:firstLine="640" w:firstLineChars="200"/>
        <w:rPr>
          <w:rFonts w:hint="eastAsia" w:ascii="仿宋" w:hAnsi="仿宋" w:eastAsia="仿宋" w:cs="仿宋"/>
          <w:i/>
          <w:iCs/>
          <w:sz w:val="32"/>
          <w:szCs w:val="32"/>
        </w:rPr>
      </w:pPr>
      <w:r>
        <w:rPr>
          <w:rFonts w:hint="eastAsia" w:ascii="仿宋" w:hAnsi="仿宋" w:eastAsia="仿宋" w:cs="仿宋"/>
          <w:sz w:val="32"/>
          <w:szCs w:val="32"/>
          <w:lang w:eastAsia="zh-CN"/>
        </w:rPr>
        <w:t>包头市民政局综合保障中心</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年国有资本经营预算支出 0 万元。与上年相比增加0 万元，增加0%。主要原因是本年无国有资本经营预算拨款支出。</w:t>
      </w:r>
    </w:p>
    <w:p>
      <w:pPr>
        <w:pageBreakBefore w:val="0"/>
        <w:kinsoku/>
        <w:wordWrap/>
        <w:overflowPunct/>
        <w:topLinePunct w:val="0"/>
        <w:bidi w:val="0"/>
        <w:spacing w:line="600" w:lineRule="exact"/>
        <w:ind w:firstLine="640" w:firstLineChars="200"/>
        <w:rPr>
          <w:b w:val="0"/>
          <w:bCs w:val="0"/>
          <w:i/>
          <w:iCs/>
          <w:highlight w:val="yellow"/>
        </w:rPr>
      </w:pPr>
      <w:r>
        <w:rPr>
          <w:rFonts w:hint="eastAsia" w:eastAsia="黑体" w:cs="黑体"/>
          <w:b w:val="0"/>
          <w:bCs w:val="0"/>
          <w:sz w:val="32"/>
          <w:szCs w:val="36"/>
        </w:rPr>
        <w:t>十、项目支出预算情况说明</w:t>
      </w:r>
    </w:p>
    <w:p>
      <w:pPr>
        <w:pageBreakBefore w:val="0"/>
        <w:kinsoku/>
        <w:wordWrap/>
        <w:overflowPunct/>
        <w:topLinePunct w:val="0"/>
        <w:bidi w:val="0"/>
        <w:spacing w:line="60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年单位预算安排项目</w:t>
      </w:r>
      <w:r>
        <w:rPr>
          <w:rFonts w:hint="eastAsia" w:ascii="仿宋" w:hAnsi="仿宋" w:eastAsia="仿宋" w:cs="仿宋"/>
          <w:sz w:val="32"/>
          <w:szCs w:val="32"/>
          <w:lang w:val="en-US" w:eastAsia="zh-CN"/>
        </w:rPr>
        <w:t>1</w:t>
      </w:r>
      <w:r>
        <w:rPr>
          <w:rFonts w:hint="eastAsia" w:ascii="仿宋" w:hAnsi="仿宋" w:eastAsia="仿宋" w:cs="仿宋"/>
          <w:sz w:val="32"/>
          <w:szCs w:val="32"/>
        </w:rPr>
        <w:t>个，项目预算总金额</w:t>
      </w:r>
      <w:r>
        <w:rPr>
          <w:rFonts w:hint="eastAsia" w:ascii="仿宋" w:hAnsi="仿宋" w:eastAsia="仿宋" w:cs="仿宋"/>
          <w:sz w:val="32"/>
          <w:szCs w:val="32"/>
          <w:u w:val="none"/>
          <w:lang w:val="en-US" w:eastAsia="zh-CN"/>
        </w:rPr>
        <w:t>29.9</w:t>
      </w:r>
      <w:r>
        <w:rPr>
          <w:rFonts w:hint="eastAsia" w:ascii="仿宋" w:hAnsi="仿宋" w:eastAsia="仿宋" w:cs="仿宋"/>
          <w:sz w:val="32"/>
          <w:szCs w:val="32"/>
        </w:rPr>
        <w:t>万元。其中，财政本年拨款金额</w:t>
      </w:r>
      <w:r>
        <w:rPr>
          <w:rFonts w:hint="eastAsia" w:ascii="仿宋" w:hAnsi="仿宋" w:eastAsia="仿宋" w:cs="仿宋"/>
          <w:sz w:val="32"/>
          <w:szCs w:val="32"/>
          <w:lang w:val="en-US" w:eastAsia="zh-CN"/>
        </w:rPr>
        <w:t>20</w:t>
      </w:r>
      <w:r>
        <w:rPr>
          <w:rFonts w:hint="eastAsia" w:ascii="仿宋" w:hAnsi="仿宋" w:eastAsia="仿宋" w:cs="仿宋"/>
          <w:sz w:val="32"/>
          <w:szCs w:val="32"/>
        </w:rPr>
        <w:t>万元，财政拨款结转结余</w:t>
      </w:r>
      <w:r>
        <w:rPr>
          <w:rFonts w:hint="eastAsia" w:ascii="仿宋" w:hAnsi="仿宋" w:eastAsia="仿宋" w:cs="仿宋"/>
          <w:sz w:val="32"/>
          <w:szCs w:val="32"/>
          <w:lang w:val="en-US" w:eastAsia="zh-CN"/>
        </w:rPr>
        <w:t>9.9</w:t>
      </w:r>
      <w:r>
        <w:rPr>
          <w:rFonts w:hint="eastAsia" w:ascii="仿宋" w:hAnsi="仿宋" w:eastAsia="仿宋" w:cs="仿宋"/>
          <w:sz w:val="32"/>
          <w:szCs w:val="32"/>
        </w:rPr>
        <w:t>万元，财政专户管理资金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万元，单位资金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pStyle w:val="10"/>
        <w:rPr>
          <w:rFonts w:hint="eastAsia" w:ascii="仿宋" w:hAnsi="仿宋" w:eastAsia="仿宋" w:cs="仿宋"/>
          <w:sz w:val="32"/>
          <w:szCs w:val="32"/>
        </w:rPr>
      </w:pPr>
      <w:r>
        <w:rPr>
          <w:rFonts w:hint="eastAsia" w:ascii="仿宋" w:hAnsi="仿宋" w:eastAsia="仿宋" w:cs="仿宋"/>
          <w:sz w:val="32"/>
          <w:szCs w:val="32"/>
        </w:rPr>
        <w:t>（一）、信息系统网站运行工作经费</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1.项目概述</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本项目主要用于信息系统网站运行工作经费项目</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2.立项依据</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为贯彻落实国务院令第 649 号《社会救助暂行办法》和《内蒙古自治区社会救助办法》（内政办发[2015]94 号）关于做好社会救助家庭不动产登记核对工作的通知。</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3.实施主体</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包头市民政局综合保障中心</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4.实施方案</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包头市居民家庭经济状况核对系统，用于协助包头社会救助系统精准识别社会救助对象，核对内容涉及公安、人社、国土、工商、税务、财政、民政、残联、编办、司法、证监等 28 个部门 40 项数据 （人口户籍、车辆、养老金、社保缴纳、不动产、工商登记、税务缴纳、财政供养、婚姻登记、殡葬、残疾人、编制信息、服刑人员、证券等数据）， 为精准识别社会救助对象提供数据支撑。</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5.实施周期</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自 2024 年 1 月 1 日至 2024 年 12 月 31 日。</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6.年度预算安排</w:t>
      </w:r>
    </w:p>
    <w:p>
      <w:pPr>
        <w:pStyle w:val="10"/>
        <w:keepNext w:val="0"/>
        <w:keepLines w:val="0"/>
        <w:pageBreakBefore w:val="0"/>
        <w:widowControl w:val="0"/>
        <w:kinsoku/>
        <w:wordWrap/>
        <w:overflowPunct/>
        <w:topLinePunct w:val="0"/>
        <w:autoSpaceDE w:val="0"/>
        <w:autoSpaceDN w:val="0"/>
        <w:bidi w:val="0"/>
        <w:adjustRightInd/>
        <w:snapToGrid/>
        <w:spacing w:line="600" w:lineRule="exact"/>
        <w:ind w:left="0" w:leftChars="0" w:firstLine="636" w:firstLineChars="200"/>
        <w:jc w:val="left"/>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2024 年该项目预算 20 万元。</w:t>
      </w:r>
    </w:p>
    <w:p>
      <w:pPr>
        <w:pageBreakBefore w:val="0"/>
        <w:numPr>
          <w:ilvl w:val="0"/>
          <w:numId w:val="3"/>
        </w:numPr>
        <w:pBdr>
          <w:bottom w:val="single" w:color="FFFFFF" w:sz="4" w:space="30"/>
        </w:pBdr>
        <w:kinsoku/>
        <w:wordWrap/>
        <w:overflowPunct/>
        <w:topLinePunct w:val="0"/>
        <w:bidi w:val="0"/>
        <w:snapToGrid w:val="0"/>
        <w:spacing w:line="600" w:lineRule="exact"/>
        <w:ind w:left="640" w:leftChars="0" w:firstLine="0" w:firstLineChars="0"/>
        <w:rPr>
          <w:rFonts w:hint="default" w:ascii="Times New Roman" w:hAnsi="Times New Roman" w:eastAsia="仿宋_GB2312" w:cs="Times New Roman"/>
          <w:sz w:val="32"/>
          <w:szCs w:val="32"/>
        </w:rPr>
      </w:pPr>
      <w:r>
        <w:rPr>
          <w:rFonts w:hint="eastAsia" w:eastAsia="黑体" w:cs="黑体"/>
          <w:b w:val="0"/>
          <w:bCs w:val="0"/>
          <w:sz w:val="32"/>
          <w:szCs w:val="36"/>
        </w:rPr>
        <w:t>一般公共预算机关运行经费支出预算情况说明</w:t>
      </w:r>
      <w:r>
        <w:rPr>
          <w:rFonts w:hint="eastAsia" w:eastAsia="黑体" w:cs="黑体"/>
          <w:b w:val="0"/>
          <w:bCs w:val="0"/>
          <w:sz w:val="32"/>
          <w:szCs w:val="36"/>
          <w:lang w:val="en-US" w:eastAsia="zh-CN"/>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ind w:left="64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单位一般公共预算机关运行经费预算支出8.40万元，主要包括以下支出：办公费3.65万元、取暖费1.66万元、委托业务费0.47万元、公务用车维护费2.5万元、其他商品和服务支出0.12万元。与上年相比增加0.6万元，增长7.7%。主要原因是：</w:t>
      </w:r>
      <w:r>
        <w:rPr>
          <w:rFonts w:hint="eastAsia" w:ascii="仿宋" w:hAnsi="仿宋" w:eastAsia="仿宋" w:cs="仿宋"/>
          <w:sz w:val="32"/>
          <w:szCs w:val="32"/>
          <w:lang w:val="zh-CN" w:eastAsia="zh-CN"/>
        </w:rPr>
        <w:t>新考入</w:t>
      </w:r>
      <w:r>
        <w:rPr>
          <w:rFonts w:hint="eastAsia" w:ascii="仿宋" w:hAnsi="仿宋" w:eastAsia="仿宋" w:cs="仿宋"/>
          <w:sz w:val="32"/>
          <w:szCs w:val="32"/>
          <w:lang w:val="en-US" w:eastAsia="zh-CN"/>
        </w:rPr>
        <w:t xml:space="preserve">2人，相应的人员经费增加，同时人员工资调标、绩效增加，缴纳保险基数提高。    </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rPr>
      </w:pPr>
      <w:r>
        <w:rPr>
          <w:rFonts w:hint="eastAsia" w:eastAsia="黑体" w:cs="黑体"/>
          <w:b w:val="0"/>
          <w:bCs w:val="0"/>
          <w:sz w:val="32"/>
          <w:szCs w:val="36"/>
          <w:lang w:val="en-US" w:eastAsia="zh-CN"/>
        </w:rPr>
        <w:t xml:space="preserve">    十二、</w:t>
      </w:r>
      <w:r>
        <w:rPr>
          <w:rFonts w:hint="eastAsia" w:eastAsia="黑体" w:cs="黑体"/>
          <w:b w:val="0"/>
          <w:bCs w:val="0"/>
          <w:sz w:val="32"/>
          <w:szCs w:val="36"/>
        </w:rPr>
        <w:t>政府采购支出预算情况说明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年度政府采购支出预算总额</w:t>
      </w:r>
      <w:r>
        <w:rPr>
          <w:rFonts w:hint="eastAsia" w:ascii="仿宋" w:hAnsi="仿宋" w:eastAsia="仿宋" w:cs="仿宋"/>
          <w:sz w:val="32"/>
          <w:szCs w:val="32"/>
          <w:lang w:val="en-US" w:eastAsia="zh-CN"/>
        </w:rPr>
        <w:t>22.4</w:t>
      </w:r>
      <w:r>
        <w:rPr>
          <w:rFonts w:hint="eastAsia" w:ascii="仿宋" w:hAnsi="仿宋" w:eastAsia="仿宋" w:cs="仿宋"/>
          <w:sz w:val="32"/>
          <w:szCs w:val="32"/>
        </w:rPr>
        <w:t>万元，其中：拟采购货物支出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万元、拟采购工程支出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万元、拟购买服务支出</w:t>
      </w:r>
      <w:r>
        <w:rPr>
          <w:rFonts w:hint="eastAsia" w:ascii="仿宋" w:hAnsi="仿宋" w:eastAsia="仿宋" w:cs="仿宋"/>
          <w:sz w:val="32"/>
          <w:szCs w:val="32"/>
          <w:lang w:val="en-US" w:eastAsia="zh-CN"/>
        </w:rPr>
        <w:t>22.4</w:t>
      </w:r>
      <w:r>
        <w:rPr>
          <w:rFonts w:hint="eastAsia" w:ascii="仿宋" w:hAnsi="仿宋" w:eastAsia="仿宋" w:cs="仿宋"/>
          <w:sz w:val="32"/>
          <w:szCs w:val="32"/>
        </w:rPr>
        <w:t>万元。</w:t>
      </w:r>
      <w:r>
        <w:rPr>
          <w:rFonts w:hint="eastAsia" w:ascii="仿宋" w:hAnsi="仿宋" w:eastAsia="仿宋" w:cs="仿宋"/>
          <w:sz w:val="32"/>
          <w:szCs w:val="32"/>
          <w:lang w:val="zh-CN" w:eastAsia="zh-CN"/>
        </w:rPr>
        <w:t xml:space="preserve">涵盖“车辆维修和保养服务”等采购大类。编制政府采购预算明细 </w:t>
      </w: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项，采购金额来源为一般公共预算资金</w:t>
      </w:r>
      <w:r>
        <w:rPr>
          <w:rFonts w:hint="eastAsia" w:ascii="仿宋" w:hAnsi="仿宋" w:eastAsia="仿宋" w:cs="仿宋"/>
          <w:sz w:val="32"/>
          <w:szCs w:val="32"/>
          <w:lang w:val="en-US" w:eastAsia="zh-CN"/>
        </w:rPr>
        <w:t>22.4</w:t>
      </w:r>
      <w:r>
        <w:rPr>
          <w:rFonts w:hint="eastAsia" w:ascii="仿宋" w:hAnsi="仿宋" w:eastAsia="仿宋" w:cs="仿宋"/>
          <w:sz w:val="32"/>
          <w:szCs w:val="32"/>
          <w:lang w:val="zh-CN" w:eastAsia="zh-CN"/>
        </w:rPr>
        <w:t>万。</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rPr>
      </w:pPr>
      <w:r>
        <w:rPr>
          <w:rFonts w:hint="eastAsia" w:eastAsia="黑体" w:cs="黑体"/>
          <w:b w:val="0"/>
          <w:bCs w:val="0"/>
          <w:sz w:val="32"/>
          <w:szCs w:val="36"/>
          <w:lang w:val="en-US" w:eastAsia="zh-CN"/>
        </w:rPr>
        <w:t xml:space="preserve">    </w:t>
      </w:r>
      <w:r>
        <w:rPr>
          <w:rFonts w:hint="eastAsia" w:eastAsia="黑体" w:cs="黑体"/>
          <w:b w:val="0"/>
          <w:bCs w:val="0"/>
          <w:sz w:val="32"/>
          <w:szCs w:val="36"/>
          <w:lang w:eastAsia="zh-CN"/>
        </w:rPr>
        <w:t>十三、</w:t>
      </w:r>
      <w:r>
        <w:rPr>
          <w:rFonts w:hint="eastAsia" w:eastAsia="黑体" w:cs="黑体"/>
          <w:b w:val="0"/>
          <w:bCs w:val="0"/>
          <w:sz w:val="32"/>
          <w:szCs w:val="36"/>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辆、业务用车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辆等。单价50万元（含）以上的通用设备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台（套），单价100万元（含）以上的专用设备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rPr>
      </w:pPr>
      <w:r>
        <w:rPr>
          <w:rFonts w:hint="eastAsia" w:eastAsia="黑体" w:cs="黑体"/>
          <w:b w:val="0"/>
          <w:bCs w:val="0"/>
          <w:sz w:val="32"/>
          <w:szCs w:val="36"/>
          <w:lang w:val="en-US" w:eastAsia="zh-CN"/>
        </w:rPr>
        <w:t xml:space="preserve">    </w:t>
      </w:r>
      <w:r>
        <w:rPr>
          <w:rFonts w:hint="eastAsia" w:eastAsia="黑体" w:cs="黑体"/>
          <w:b w:val="0"/>
          <w:bCs w:val="0"/>
          <w:sz w:val="32"/>
          <w:szCs w:val="36"/>
          <w:lang w:eastAsia="zh-CN"/>
        </w:rPr>
        <w:t>十四、</w:t>
      </w:r>
      <w:r>
        <w:rPr>
          <w:rFonts w:hint="eastAsia" w:eastAsia="黑体" w:cs="黑体"/>
          <w:b w:val="0"/>
          <w:bCs w:val="0"/>
          <w:sz w:val="32"/>
          <w:szCs w:val="36"/>
        </w:rPr>
        <w:t>项目绩效目标情况说明</w:t>
      </w:r>
      <w:r>
        <w:rPr>
          <w:rFonts w:hint="eastAsia" w:eastAsia="黑体" w:cs="黑体"/>
          <w:b/>
          <w:bCs/>
          <w:sz w:val="32"/>
          <w:szCs w:val="36"/>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r>
        <w:rPr>
          <w:rFonts w:hint="eastAsia" w:eastAsia="黑体" w:cs="黑体"/>
          <w:b/>
          <w:bCs/>
          <w:sz w:val="32"/>
          <w:szCs w:val="36"/>
          <w:lang w:val="en-US" w:eastAsia="zh-CN"/>
        </w:rPr>
        <w:t xml:space="preserve">   </w:t>
      </w:r>
      <w:r>
        <w:rPr>
          <w:rFonts w:hint="eastAsia" w:ascii="仿宋" w:hAnsi="仿宋" w:eastAsia="仿宋" w:cs="仿宋"/>
          <w:b/>
          <w:bCs/>
          <w:sz w:val="32"/>
          <w:szCs w:val="36"/>
          <w:lang w:val="en-US" w:eastAsia="zh-CN"/>
        </w:rPr>
        <w:t xml:space="preserve"> </w:t>
      </w:r>
      <w:r>
        <w:rPr>
          <w:rFonts w:hint="eastAsia" w:ascii="仿宋" w:hAnsi="仿宋" w:eastAsia="仿宋" w:cs="仿宋"/>
          <w:sz w:val="32"/>
          <w:szCs w:val="32"/>
          <w:lang w:val="en-US" w:eastAsia="zh-CN"/>
        </w:rPr>
        <w:t>2024</w:t>
      </w:r>
      <w:r>
        <w:rPr>
          <w:rFonts w:hint="eastAsia" w:ascii="仿宋" w:hAnsi="仿宋" w:eastAsia="仿宋" w:cs="仿宋"/>
          <w:sz w:val="32"/>
          <w:szCs w:val="32"/>
        </w:rPr>
        <w:t>年，填报绩效目标的预算项目</w:t>
      </w:r>
      <w:r>
        <w:rPr>
          <w:rFonts w:hint="eastAsia" w:ascii="仿宋" w:hAnsi="仿宋" w:eastAsia="仿宋" w:cs="仿宋"/>
          <w:sz w:val="32"/>
          <w:szCs w:val="32"/>
          <w:lang w:val="en-US" w:eastAsia="zh-CN"/>
        </w:rPr>
        <w:t>1</w:t>
      </w:r>
      <w:r>
        <w:rPr>
          <w:rFonts w:hint="eastAsia" w:ascii="仿宋" w:hAnsi="仿宋" w:eastAsia="仿宋" w:cs="仿宋"/>
          <w:sz w:val="32"/>
          <w:szCs w:val="32"/>
        </w:rPr>
        <w:t>个，公开绩效目标</w:t>
      </w:r>
      <w:r>
        <w:rPr>
          <w:rFonts w:hint="eastAsia" w:ascii="仿宋" w:hAnsi="仿宋" w:eastAsia="仿宋" w:cs="仿宋"/>
          <w:sz w:val="32"/>
          <w:szCs w:val="32"/>
          <w:lang w:val="en-US" w:eastAsia="zh-CN"/>
        </w:rPr>
        <w:t>1</w:t>
      </w:r>
      <w:r>
        <w:rPr>
          <w:rFonts w:hint="eastAsia" w:ascii="仿宋" w:hAnsi="仿宋" w:eastAsia="仿宋" w:cs="仿宋"/>
          <w:sz w:val="32"/>
          <w:szCs w:val="32"/>
        </w:rPr>
        <w:t>个，公开项目占</w:t>
      </w:r>
      <w:r>
        <w:rPr>
          <w:rFonts w:hint="eastAsia" w:ascii="仿宋" w:hAnsi="仿宋" w:eastAsia="仿宋" w:cs="仿宋"/>
          <w:sz w:val="32"/>
          <w:szCs w:val="32"/>
          <w:lang w:eastAsia="zh-CN"/>
        </w:rPr>
        <w:t>本年</w:t>
      </w:r>
      <w:r>
        <w:rPr>
          <w:rFonts w:hint="eastAsia" w:ascii="仿宋" w:hAnsi="仿宋" w:eastAsia="仿宋" w:cs="仿宋"/>
          <w:sz w:val="32"/>
          <w:szCs w:val="32"/>
        </w:rPr>
        <w:t>预算项目的</w:t>
      </w:r>
      <w:r>
        <w:rPr>
          <w:rFonts w:hint="eastAsia" w:ascii="仿宋" w:hAnsi="仿宋" w:eastAsia="仿宋" w:cs="仿宋"/>
          <w:sz w:val="32"/>
          <w:szCs w:val="32"/>
          <w:lang w:val="en-US" w:eastAsia="zh-CN"/>
        </w:rPr>
        <w:t>100</w:t>
      </w:r>
      <w:r>
        <w:rPr>
          <w:rFonts w:hint="eastAsia" w:ascii="仿宋" w:hAnsi="仿宋" w:eastAsia="仿宋" w:cs="仿宋"/>
          <w:sz w:val="32"/>
          <w:szCs w:val="32"/>
        </w:rPr>
        <w:t>%。公开填报绩效目标的项目预算</w:t>
      </w:r>
      <w:r>
        <w:rPr>
          <w:rFonts w:hint="eastAsia" w:ascii="仿宋" w:hAnsi="仿宋" w:eastAsia="仿宋" w:cs="仿宋"/>
          <w:sz w:val="32"/>
          <w:szCs w:val="32"/>
          <w:u w:val="none"/>
          <w:lang w:val="en-US" w:eastAsia="zh-CN"/>
        </w:rPr>
        <w:t>20</w:t>
      </w:r>
      <w:r>
        <w:rPr>
          <w:rFonts w:hint="eastAsia" w:ascii="仿宋" w:hAnsi="仿宋" w:eastAsia="仿宋" w:cs="仿宋"/>
          <w:sz w:val="32"/>
          <w:szCs w:val="32"/>
        </w:rPr>
        <w:t>万元，占</w:t>
      </w:r>
      <w:r>
        <w:rPr>
          <w:rFonts w:hint="eastAsia" w:ascii="仿宋" w:hAnsi="仿宋" w:eastAsia="仿宋" w:cs="仿宋"/>
          <w:sz w:val="32"/>
          <w:szCs w:val="32"/>
          <w:lang w:eastAsia="zh-CN"/>
        </w:rPr>
        <w:t>本年</w:t>
      </w:r>
      <w:r>
        <w:rPr>
          <w:rFonts w:hint="eastAsia" w:ascii="仿宋" w:hAnsi="仿宋" w:eastAsia="仿宋" w:cs="仿宋"/>
          <w:sz w:val="32"/>
          <w:szCs w:val="32"/>
        </w:rPr>
        <w:t>项目预算的100%。</w:t>
      </w: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pPr>
        <w:rPr>
          <w:sz w:val="36"/>
          <w:szCs w:val="36"/>
        </w:rPr>
      </w:pP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ind w:firstLine="643" w:firstLineChars="200"/>
        <w:rPr>
          <w:rFonts w:eastAsia="仿宋_GB2312" w:cstheme="minorBidi"/>
          <w:b/>
          <w:bCs/>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pageBreakBefore w:val="0"/>
        <w:kinsoku/>
        <w:wordWrap/>
        <w:overflowPunct/>
        <w:topLinePunct w:val="0"/>
        <w:bidi w:val="0"/>
        <w:snapToGrid w:val="0"/>
        <w:spacing w:line="600" w:lineRule="exact"/>
        <w:ind w:firstLine="640" w:firstLineChars="200"/>
        <w:rPr>
          <w:rFonts w:eastAsia="仿宋_GB2312" w:cstheme="minorBidi"/>
          <w:sz w:val="30"/>
          <w:szCs w:val="30"/>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 xml:space="preserve">辛明龙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5618632</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415C92D-15A9-4BBE-9847-CA65C0261660}"/>
  </w:font>
  <w:font w:name="黑体">
    <w:panose1 w:val="02010609060101010101"/>
    <w:charset w:val="86"/>
    <w:family w:val="auto"/>
    <w:pitch w:val="default"/>
    <w:sig w:usb0="800002BF" w:usb1="38CF7CFA" w:usb2="00000016" w:usb3="00000000" w:csb0="00040001" w:csb1="00000000"/>
    <w:embedRegular r:id="rId2" w:fontKey="{F98C18F6-F4D1-421A-BEDF-214B7C2FD3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88F7B0BA-EF85-427A-8856-B8B0EA21A1E7}"/>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8BB109AA-B0C2-4F54-8435-EC05EEC11BBB}"/>
  </w:font>
  <w:font w:name="等线">
    <w:altName w:val="微软雅黑"/>
    <w:panose1 w:val="02010600030101010101"/>
    <w:charset w:val="86"/>
    <w:family w:val="auto"/>
    <w:pitch w:val="default"/>
    <w:sig w:usb0="00000000" w:usb1="00000000" w:usb2="00000016" w:usb3="00000000" w:csb0="0004000F" w:csb1="00000000"/>
  </w:font>
  <w:font w:name="Helvetica">
    <w:panose1 w:val="020B0504020202030204"/>
    <w:charset w:val="00"/>
    <w:family w:val="modern"/>
    <w:pitch w:val="default"/>
    <w:sig w:usb0="00000007" w:usb1="00000000" w:usb2="00000000" w:usb3="00000000" w:csb0="00000093" w:csb1="00000000"/>
  </w:font>
  <w:font w:name="Courier">
    <w:panose1 w:val="02060409020205020404"/>
    <w:charset w:val="00"/>
    <w:family w:val="roman"/>
    <w:pitch w:val="default"/>
    <w:sig w:usb0="00000007" w:usb1="00000000" w:usb2="00000000" w:usb3="00000000" w:csb0="00000093"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BF0EE82A-6848-4013-9E1C-D109414A2D3E}"/>
  </w:font>
  <w:font w:name="仿宋">
    <w:panose1 w:val="02010609060101010101"/>
    <w:charset w:val="86"/>
    <w:family w:val="auto"/>
    <w:pitch w:val="default"/>
    <w:sig w:usb0="800002BF" w:usb1="38CF7CFA" w:usb2="00000016" w:usb3="00000000" w:csb0="00040001" w:csb1="00000000"/>
    <w:embedRegular r:id="rId6" w:fontKey="{AB69E994-12F2-489D-8CF0-29006D915D64}"/>
  </w:font>
  <w:font w:name="楷体">
    <w:panose1 w:val="02010609060101010101"/>
    <w:charset w:val="86"/>
    <w:family w:val="roman"/>
    <w:pitch w:val="default"/>
    <w:sig w:usb0="800002BF" w:usb1="38CF7CFA" w:usb2="00000016" w:usb3="00000000" w:csb0="00040001" w:csb1="00000000"/>
    <w:embedRegular r:id="rId7" w:fontKey="{48F24DB3-2FD6-472D-A3EA-8809FEBFEFA3}"/>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- 19 -</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abstractNum w:abstractNumId="1">
    <w:nsid w:val="3A06B4CF"/>
    <w:multiLevelType w:val="singleLevel"/>
    <w:tmpl w:val="3A06B4CF"/>
    <w:lvl w:ilvl="0" w:tentative="0">
      <w:start w:val="11"/>
      <w:numFmt w:val="chineseCounting"/>
      <w:suff w:val="nothing"/>
      <w:lvlText w:val="%1、"/>
      <w:lvlJc w:val="left"/>
      <w:pPr>
        <w:ind w:left="640" w:leftChars="0" w:firstLine="0" w:firstLineChars="0"/>
      </w:pPr>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OGE0YzFhY2ZlZmNiMzI2M2VkYzVlZThkZjljYzE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862BE"/>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26160D"/>
    <w:rsid w:val="01757692"/>
    <w:rsid w:val="017E2A82"/>
    <w:rsid w:val="01BB5A85"/>
    <w:rsid w:val="01DE380D"/>
    <w:rsid w:val="020F6097"/>
    <w:rsid w:val="025C06E0"/>
    <w:rsid w:val="0295339B"/>
    <w:rsid w:val="02D2752A"/>
    <w:rsid w:val="0302325D"/>
    <w:rsid w:val="03646F18"/>
    <w:rsid w:val="03B73F56"/>
    <w:rsid w:val="03C84930"/>
    <w:rsid w:val="03DF7E09"/>
    <w:rsid w:val="03EA3B15"/>
    <w:rsid w:val="043F38BF"/>
    <w:rsid w:val="04576AAB"/>
    <w:rsid w:val="048320BB"/>
    <w:rsid w:val="048B2C32"/>
    <w:rsid w:val="04B563C2"/>
    <w:rsid w:val="05283431"/>
    <w:rsid w:val="052B64EE"/>
    <w:rsid w:val="05304B47"/>
    <w:rsid w:val="05531A54"/>
    <w:rsid w:val="055C30DB"/>
    <w:rsid w:val="05F62AFD"/>
    <w:rsid w:val="05F92C68"/>
    <w:rsid w:val="06571B7A"/>
    <w:rsid w:val="068C5C42"/>
    <w:rsid w:val="077068FB"/>
    <w:rsid w:val="077111CE"/>
    <w:rsid w:val="0772575A"/>
    <w:rsid w:val="07AC659B"/>
    <w:rsid w:val="07DA3A8F"/>
    <w:rsid w:val="07E876DD"/>
    <w:rsid w:val="08236AD2"/>
    <w:rsid w:val="083572E7"/>
    <w:rsid w:val="08940DDD"/>
    <w:rsid w:val="089D7C92"/>
    <w:rsid w:val="08A72BFD"/>
    <w:rsid w:val="09013D44"/>
    <w:rsid w:val="091E5277"/>
    <w:rsid w:val="097F1E8C"/>
    <w:rsid w:val="097F75FA"/>
    <w:rsid w:val="09816C22"/>
    <w:rsid w:val="099C7352"/>
    <w:rsid w:val="09C92DD3"/>
    <w:rsid w:val="09CF6E4B"/>
    <w:rsid w:val="09D75426"/>
    <w:rsid w:val="09F935EE"/>
    <w:rsid w:val="0A2543E3"/>
    <w:rsid w:val="0A5C4871"/>
    <w:rsid w:val="0AB665C5"/>
    <w:rsid w:val="0ACF33A9"/>
    <w:rsid w:val="0B260413"/>
    <w:rsid w:val="0B3B3792"/>
    <w:rsid w:val="0B6B045B"/>
    <w:rsid w:val="0BD554C2"/>
    <w:rsid w:val="0BD87233"/>
    <w:rsid w:val="0C182FEF"/>
    <w:rsid w:val="0D1B1ACD"/>
    <w:rsid w:val="0D63594E"/>
    <w:rsid w:val="0DA5089B"/>
    <w:rsid w:val="0DFA3B07"/>
    <w:rsid w:val="0E7B4525"/>
    <w:rsid w:val="0E925DBF"/>
    <w:rsid w:val="0E9E6512"/>
    <w:rsid w:val="0F1020C2"/>
    <w:rsid w:val="0F9C18C3"/>
    <w:rsid w:val="0FCC3133"/>
    <w:rsid w:val="0FF56606"/>
    <w:rsid w:val="10010765"/>
    <w:rsid w:val="104F21BA"/>
    <w:rsid w:val="10767327"/>
    <w:rsid w:val="107B4D5D"/>
    <w:rsid w:val="108D4EB7"/>
    <w:rsid w:val="10B14C22"/>
    <w:rsid w:val="11002A91"/>
    <w:rsid w:val="11146F5F"/>
    <w:rsid w:val="11304CEB"/>
    <w:rsid w:val="11AF4DCB"/>
    <w:rsid w:val="11D55CC6"/>
    <w:rsid w:val="127557DC"/>
    <w:rsid w:val="12955111"/>
    <w:rsid w:val="12BE7C6D"/>
    <w:rsid w:val="12CC6E6D"/>
    <w:rsid w:val="13182014"/>
    <w:rsid w:val="13582B70"/>
    <w:rsid w:val="13806E42"/>
    <w:rsid w:val="13A20852"/>
    <w:rsid w:val="13A607E7"/>
    <w:rsid w:val="13CA1B57"/>
    <w:rsid w:val="140E7482"/>
    <w:rsid w:val="140E7C96"/>
    <w:rsid w:val="1440520B"/>
    <w:rsid w:val="14651130"/>
    <w:rsid w:val="14737EE6"/>
    <w:rsid w:val="147C10A3"/>
    <w:rsid w:val="1487776D"/>
    <w:rsid w:val="14A81E98"/>
    <w:rsid w:val="14C12F5A"/>
    <w:rsid w:val="14DE6331"/>
    <w:rsid w:val="15A77F2B"/>
    <w:rsid w:val="15AA64D6"/>
    <w:rsid w:val="15BF5ECB"/>
    <w:rsid w:val="16C06D64"/>
    <w:rsid w:val="170A0BE8"/>
    <w:rsid w:val="17471E3D"/>
    <w:rsid w:val="177924A5"/>
    <w:rsid w:val="177D53E4"/>
    <w:rsid w:val="17BC5001"/>
    <w:rsid w:val="183A0A1F"/>
    <w:rsid w:val="185F6D12"/>
    <w:rsid w:val="18784278"/>
    <w:rsid w:val="188D3C84"/>
    <w:rsid w:val="188D5563"/>
    <w:rsid w:val="18B427A7"/>
    <w:rsid w:val="193208CA"/>
    <w:rsid w:val="197C38F4"/>
    <w:rsid w:val="19833803"/>
    <w:rsid w:val="198C1D89"/>
    <w:rsid w:val="19C15B92"/>
    <w:rsid w:val="19E75453"/>
    <w:rsid w:val="1A6920CA"/>
    <w:rsid w:val="1AC1240C"/>
    <w:rsid w:val="1AE71241"/>
    <w:rsid w:val="1B1A33C4"/>
    <w:rsid w:val="1B1E0C1D"/>
    <w:rsid w:val="1B74013C"/>
    <w:rsid w:val="1B79465F"/>
    <w:rsid w:val="1B7A3E63"/>
    <w:rsid w:val="1B7E1DAD"/>
    <w:rsid w:val="1BA43815"/>
    <w:rsid w:val="1C213790"/>
    <w:rsid w:val="1C994AB0"/>
    <w:rsid w:val="1CDF48C5"/>
    <w:rsid w:val="1CFA34AD"/>
    <w:rsid w:val="1E0D2BED"/>
    <w:rsid w:val="1E1E4A91"/>
    <w:rsid w:val="1E591AD6"/>
    <w:rsid w:val="1E8A5DE0"/>
    <w:rsid w:val="1F071EB1"/>
    <w:rsid w:val="1F14499E"/>
    <w:rsid w:val="1F5B26C7"/>
    <w:rsid w:val="1FF31D99"/>
    <w:rsid w:val="203A4DF7"/>
    <w:rsid w:val="21157BA8"/>
    <w:rsid w:val="216C7A31"/>
    <w:rsid w:val="21894E00"/>
    <w:rsid w:val="218A4378"/>
    <w:rsid w:val="224109E7"/>
    <w:rsid w:val="22925E5B"/>
    <w:rsid w:val="229D6D3A"/>
    <w:rsid w:val="22A144DF"/>
    <w:rsid w:val="22EB689E"/>
    <w:rsid w:val="22F455A3"/>
    <w:rsid w:val="23940548"/>
    <w:rsid w:val="23FF2D30"/>
    <w:rsid w:val="24134532"/>
    <w:rsid w:val="243D2F4B"/>
    <w:rsid w:val="24455956"/>
    <w:rsid w:val="246B6A3F"/>
    <w:rsid w:val="2472310C"/>
    <w:rsid w:val="247D7B0E"/>
    <w:rsid w:val="249C2E00"/>
    <w:rsid w:val="24A26904"/>
    <w:rsid w:val="26CE5027"/>
    <w:rsid w:val="27C04855"/>
    <w:rsid w:val="27F62AEE"/>
    <w:rsid w:val="28381019"/>
    <w:rsid w:val="2866365B"/>
    <w:rsid w:val="28E3364C"/>
    <w:rsid w:val="29754412"/>
    <w:rsid w:val="29806A9C"/>
    <w:rsid w:val="29C74208"/>
    <w:rsid w:val="29D7784D"/>
    <w:rsid w:val="2B4104F9"/>
    <w:rsid w:val="2B520C1C"/>
    <w:rsid w:val="2B7752D0"/>
    <w:rsid w:val="2B9D683D"/>
    <w:rsid w:val="2BD1187D"/>
    <w:rsid w:val="2BDD6474"/>
    <w:rsid w:val="2BDF34CC"/>
    <w:rsid w:val="2C0435F1"/>
    <w:rsid w:val="2C6201EE"/>
    <w:rsid w:val="2C7E2617"/>
    <w:rsid w:val="2C8763E0"/>
    <w:rsid w:val="2CF23FA9"/>
    <w:rsid w:val="2D39592C"/>
    <w:rsid w:val="2D656721"/>
    <w:rsid w:val="2D8E5224"/>
    <w:rsid w:val="2D945258"/>
    <w:rsid w:val="2DDE2C59"/>
    <w:rsid w:val="2E50057C"/>
    <w:rsid w:val="2E580034"/>
    <w:rsid w:val="2E8828A0"/>
    <w:rsid w:val="2E8C7A38"/>
    <w:rsid w:val="2EA27501"/>
    <w:rsid w:val="2EA9088F"/>
    <w:rsid w:val="2F204A26"/>
    <w:rsid w:val="2F266384"/>
    <w:rsid w:val="2F3045A4"/>
    <w:rsid w:val="2F567AA0"/>
    <w:rsid w:val="2FC751AB"/>
    <w:rsid w:val="30043F67"/>
    <w:rsid w:val="30240B15"/>
    <w:rsid w:val="305E56A9"/>
    <w:rsid w:val="307373A7"/>
    <w:rsid w:val="30751371"/>
    <w:rsid w:val="307F099C"/>
    <w:rsid w:val="309F5392"/>
    <w:rsid w:val="30B17ECF"/>
    <w:rsid w:val="313A6212"/>
    <w:rsid w:val="3161171F"/>
    <w:rsid w:val="3178765B"/>
    <w:rsid w:val="31927D00"/>
    <w:rsid w:val="319A28B2"/>
    <w:rsid w:val="31A6555A"/>
    <w:rsid w:val="31C91448"/>
    <w:rsid w:val="31D82DA0"/>
    <w:rsid w:val="31E57491"/>
    <w:rsid w:val="3276083D"/>
    <w:rsid w:val="32AE0550"/>
    <w:rsid w:val="32DB53A4"/>
    <w:rsid w:val="32FF334E"/>
    <w:rsid w:val="332B6E12"/>
    <w:rsid w:val="335D3945"/>
    <w:rsid w:val="338B0EAB"/>
    <w:rsid w:val="33905BDA"/>
    <w:rsid w:val="33977850"/>
    <w:rsid w:val="339B19D0"/>
    <w:rsid w:val="341C2EFA"/>
    <w:rsid w:val="34407D9F"/>
    <w:rsid w:val="347569F5"/>
    <w:rsid w:val="348F22D5"/>
    <w:rsid w:val="3508551A"/>
    <w:rsid w:val="3559433A"/>
    <w:rsid w:val="359C0F7A"/>
    <w:rsid w:val="35B4484A"/>
    <w:rsid w:val="35F24ED4"/>
    <w:rsid w:val="361138EA"/>
    <w:rsid w:val="372C3D31"/>
    <w:rsid w:val="376677AF"/>
    <w:rsid w:val="37776170"/>
    <w:rsid w:val="378B37C3"/>
    <w:rsid w:val="37985945"/>
    <w:rsid w:val="37BE57F0"/>
    <w:rsid w:val="383B0BDA"/>
    <w:rsid w:val="384C0FEA"/>
    <w:rsid w:val="38F2725A"/>
    <w:rsid w:val="38FD0155"/>
    <w:rsid w:val="391334D5"/>
    <w:rsid w:val="3941563D"/>
    <w:rsid w:val="39AE7101"/>
    <w:rsid w:val="39BD78E5"/>
    <w:rsid w:val="39C037CE"/>
    <w:rsid w:val="3A103EB8"/>
    <w:rsid w:val="3A1219DE"/>
    <w:rsid w:val="3A443B62"/>
    <w:rsid w:val="3A7E0E22"/>
    <w:rsid w:val="3A86167D"/>
    <w:rsid w:val="3AC90F60"/>
    <w:rsid w:val="3AE332B3"/>
    <w:rsid w:val="3BD11425"/>
    <w:rsid w:val="3C5A39D8"/>
    <w:rsid w:val="3C8C247C"/>
    <w:rsid w:val="3D65545B"/>
    <w:rsid w:val="3D987913"/>
    <w:rsid w:val="3DC6320C"/>
    <w:rsid w:val="3E381AB0"/>
    <w:rsid w:val="3E4D2492"/>
    <w:rsid w:val="3E7C6D69"/>
    <w:rsid w:val="3FA119B7"/>
    <w:rsid w:val="400D69A7"/>
    <w:rsid w:val="40177DE3"/>
    <w:rsid w:val="40220229"/>
    <w:rsid w:val="40854219"/>
    <w:rsid w:val="40976810"/>
    <w:rsid w:val="40C91060"/>
    <w:rsid w:val="40D65A24"/>
    <w:rsid w:val="40EA5463"/>
    <w:rsid w:val="410D73A4"/>
    <w:rsid w:val="417A1877"/>
    <w:rsid w:val="42093E20"/>
    <w:rsid w:val="422711D3"/>
    <w:rsid w:val="42660F50"/>
    <w:rsid w:val="4303280C"/>
    <w:rsid w:val="432253DD"/>
    <w:rsid w:val="43501007"/>
    <w:rsid w:val="435941F1"/>
    <w:rsid w:val="43863DDA"/>
    <w:rsid w:val="441B1369"/>
    <w:rsid w:val="44406889"/>
    <w:rsid w:val="444939F2"/>
    <w:rsid w:val="44AA209C"/>
    <w:rsid w:val="44C24001"/>
    <w:rsid w:val="452457E1"/>
    <w:rsid w:val="45551365"/>
    <w:rsid w:val="456C6514"/>
    <w:rsid w:val="45B65EC8"/>
    <w:rsid w:val="45BA2812"/>
    <w:rsid w:val="4654337F"/>
    <w:rsid w:val="467938A1"/>
    <w:rsid w:val="46F450DE"/>
    <w:rsid w:val="476F66C2"/>
    <w:rsid w:val="482809DA"/>
    <w:rsid w:val="4841003D"/>
    <w:rsid w:val="48D42CC1"/>
    <w:rsid w:val="48F60B83"/>
    <w:rsid w:val="490966A2"/>
    <w:rsid w:val="496643B5"/>
    <w:rsid w:val="496D09DF"/>
    <w:rsid w:val="498B05EA"/>
    <w:rsid w:val="49E36EF3"/>
    <w:rsid w:val="49EC224C"/>
    <w:rsid w:val="49F51014"/>
    <w:rsid w:val="4A0B7731"/>
    <w:rsid w:val="4A1C7B64"/>
    <w:rsid w:val="4A3A7537"/>
    <w:rsid w:val="4A9A751F"/>
    <w:rsid w:val="4AB8212E"/>
    <w:rsid w:val="4AE10089"/>
    <w:rsid w:val="4B177614"/>
    <w:rsid w:val="4B3A3DE4"/>
    <w:rsid w:val="4B77032C"/>
    <w:rsid w:val="4B852596"/>
    <w:rsid w:val="4BB0141F"/>
    <w:rsid w:val="4BCA4DC2"/>
    <w:rsid w:val="4BEE7E1E"/>
    <w:rsid w:val="4C373527"/>
    <w:rsid w:val="4CC43F74"/>
    <w:rsid w:val="4CC52EF6"/>
    <w:rsid w:val="4CCF4F09"/>
    <w:rsid w:val="4D3806BD"/>
    <w:rsid w:val="4DD51249"/>
    <w:rsid w:val="4E7C3473"/>
    <w:rsid w:val="4EA7441B"/>
    <w:rsid w:val="4F192919"/>
    <w:rsid w:val="4F302DF0"/>
    <w:rsid w:val="4FA56487"/>
    <w:rsid w:val="4FC44EDC"/>
    <w:rsid w:val="5052092F"/>
    <w:rsid w:val="507A3CA1"/>
    <w:rsid w:val="50845391"/>
    <w:rsid w:val="50997532"/>
    <w:rsid w:val="50EC0D83"/>
    <w:rsid w:val="50FA30CA"/>
    <w:rsid w:val="51095C3F"/>
    <w:rsid w:val="513A1EDF"/>
    <w:rsid w:val="513F5357"/>
    <w:rsid w:val="514C537E"/>
    <w:rsid w:val="5184720E"/>
    <w:rsid w:val="51D3277A"/>
    <w:rsid w:val="51ED4DB3"/>
    <w:rsid w:val="523522B6"/>
    <w:rsid w:val="524E3378"/>
    <w:rsid w:val="52C12FB4"/>
    <w:rsid w:val="53097B05"/>
    <w:rsid w:val="53502B2F"/>
    <w:rsid w:val="535B5D4C"/>
    <w:rsid w:val="536270DB"/>
    <w:rsid w:val="53866EE0"/>
    <w:rsid w:val="538F587F"/>
    <w:rsid w:val="53CD1F81"/>
    <w:rsid w:val="53DF24DA"/>
    <w:rsid w:val="543B6CAA"/>
    <w:rsid w:val="544E2FF3"/>
    <w:rsid w:val="547370C6"/>
    <w:rsid w:val="551E7F0E"/>
    <w:rsid w:val="55674DA8"/>
    <w:rsid w:val="55852E44"/>
    <w:rsid w:val="558A46C7"/>
    <w:rsid w:val="55B17635"/>
    <w:rsid w:val="55B95F2B"/>
    <w:rsid w:val="55D63612"/>
    <w:rsid w:val="55D9538F"/>
    <w:rsid w:val="5645019F"/>
    <w:rsid w:val="565203AE"/>
    <w:rsid w:val="567C021C"/>
    <w:rsid w:val="56831AED"/>
    <w:rsid w:val="568850AA"/>
    <w:rsid w:val="56A45D9C"/>
    <w:rsid w:val="56B137E7"/>
    <w:rsid w:val="5747168F"/>
    <w:rsid w:val="576F626A"/>
    <w:rsid w:val="57A20B0E"/>
    <w:rsid w:val="57CD0549"/>
    <w:rsid w:val="58501BF8"/>
    <w:rsid w:val="58814FFF"/>
    <w:rsid w:val="58DE14C6"/>
    <w:rsid w:val="58DE5456"/>
    <w:rsid w:val="591346AB"/>
    <w:rsid w:val="593006D8"/>
    <w:rsid w:val="59441031"/>
    <w:rsid w:val="59654F1B"/>
    <w:rsid w:val="59727F77"/>
    <w:rsid w:val="597B4AB5"/>
    <w:rsid w:val="599C0305"/>
    <w:rsid w:val="5A1D1FAE"/>
    <w:rsid w:val="5A3966BC"/>
    <w:rsid w:val="5A494B51"/>
    <w:rsid w:val="5A650D5A"/>
    <w:rsid w:val="5A8E6B50"/>
    <w:rsid w:val="5AE605F2"/>
    <w:rsid w:val="5B526E3B"/>
    <w:rsid w:val="5B66391F"/>
    <w:rsid w:val="5BAB6C05"/>
    <w:rsid w:val="5BAF6C35"/>
    <w:rsid w:val="5BBE156E"/>
    <w:rsid w:val="5C221798"/>
    <w:rsid w:val="5C3E620B"/>
    <w:rsid w:val="5C4F17B9"/>
    <w:rsid w:val="5C71273A"/>
    <w:rsid w:val="5CF3349A"/>
    <w:rsid w:val="5D176670"/>
    <w:rsid w:val="5D55380D"/>
    <w:rsid w:val="5DCD204C"/>
    <w:rsid w:val="5DF11787"/>
    <w:rsid w:val="5E180BAB"/>
    <w:rsid w:val="5E7C3B11"/>
    <w:rsid w:val="5E820631"/>
    <w:rsid w:val="5E8917BD"/>
    <w:rsid w:val="5EB81C90"/>
    <w:rsid w:val="5EF808F3"/>
    <w:rsid w:val="5EFB5FCF"/>
    <w:rsid w:val="5F294F51"/>
    <w:rsid w:val="5FBA3DFB"/>
    <w:rsid w:val="5FE77918"/>
    <w:rsid w:val="5FFC638B"/>
    <w:rsid w:val="60762907"/>
    <w:rsid w:val="60932FCA"/>
    <w:rsid w:val="60976762"/>
    <w:rsid w:val="60A3109B"/>
    <w:rsid w:val="615674ED"/>
    <w:rsid w:val="61744EA1"/>
    <w:rsid w:val="61914D9C"/>
    <w:rsid w:val="619F14FA"/>
    <w:rsid w:val="622E3D73"/>
    <w:rsid w:val="62966995"/>
    <w:rsid w:val="632C3E4E"/>
    <w:rsid w:val="637048DB"/>
    <w:rsid w:val="639A5F63"/>
    <w:rsid w:val="63D869C8"/>
    <w:rsid w:val="649474DD"/>
    <w:rsid w:val="64A1196C"/>
    <w:rsid w:val="64AA146F"/>
    <w:rsid w:val="65335497"/>
    <w:rsid w:val="654A5B17"/>
    <w:rsid w:val="65A56FE5"/>
    <w:rsid w:val="65D76172"/>
    <w:rsid w:val="65FA31A3"/>
    <w:rsid w:val="66154481"/>
    <w:rsid w:val="66391F1D"/>
    <w:rsid w:val="66A66FA8"/>
    <w:rsid w:val="66C77325"/>
    <w:rsid w:val="67B76864"/>
    <w:rsid w:val="68931D4F"/>
    <w:rsid w:val="68A51AEC"/>
    <w:rsid w:val="68C6406F"/>
    <w:rsid w:val="692C57AE"/>
    <w:rsid w:val="692F13B6"/>
    <w:rsid w:val="69666E14"/>
    <w:rsid w:val="69782D5D"/>
    <w:rsid w:val="6A1638AD"/>
    <w:rsid w:val="6A701C86"/>
    <w:rsid w:val="6A7C1326"/>
    <w:rsid w:val="6B4551DF"/>
    <w:rsid w:val="6B525830"/>
    <w:rsid w:val="6B9E2823"/>
    <w:rsid w:val="6BF95CAB"/>
    <w:rsid w:val="6C103720"/>
    <w:rsid w:val="6C2B055A"/>
    <w:rsid w:val="6C640F98"/>
    <w:rsid w:val="6C7B77BD"/>
    <w:rsid w:val="6C992C34"/>
    <w:rsid w:val="6CA607CB"/>
    <w:rsid w:val="6CA95923"/>
    <w:rsid w:val="6D2D3E5E"/>
    <w:rsid w:val="6D641E4C"/>
    <w:rsid w:val="6D6D6178"/>
    <w:rsid w:val="6D756958"/>
    <w:rsid w:val="6DDA2C45"/>
    <w:rsid w:val="6DEF7365"/>
    <w:rsid w:val="6E056B89"/>
    <w:rsid w:val="6E0E211B"/>
    <w:rsid w:val="6F5B57CE"/>
    <w:rsid w:val="6FC53B50"/>
    <w:rsid w:val="6FD86214"/>
    <w:rsid w:val="6FF944CB"/>
    <w:rsid w:val="70394100"/>
    <w:rsid w:val="70EA2922"/>
    <w:rsid w:val="71117FF6"/>
    <w:rsid w:val="718B3849"/>
    <w:rsid w:val="719E6C6B"/>
    <w:rsid w:val="720158B9"/>
    <w:rsid w:val="72356B79"/>
    <w:rsid w:val="724E482E"/>
    <w:rsid w:val="72D57472"/>
    <w:rsid w:val="73656E86"/>
    <w:rsid w:val="7377015A"/>
    <w:rsid w:val="737E0D44"/>
    <w:rsid w:val="739D2BFF"/>
    <w:rsid w:val="73DD7CA5"/>
    <w:rsid w:val="73ED07EB"/>
    <w:rsid w:val="73F05BE5"/>
    <w:rsid w:val="745F5557"/>
    <w:rsid w:val="74A72748"/>
    <w:rsid w:val="74F04F77"/>
    <w:rsid w:val="74F71921"/>
    <w:rsid w:val="750E45F8"/>
    <w:rsid w:val="755F3023"/>
    <w:rsid w:val="75A01A91"/>
    <w:rsid w:val="75A62E64"/>
    <w:rsid w:val="75BB53FD"/>
    <w:rsid w:val="75D4064B"/>
    <w:rsid w:val="75D45BC8"/>
    <w:rsid w:val="75E550A2"/>
    <w:rsid w:val="75E96582"/>
    <w:rsid w:val="761146D7"/>
    <w:rsid w:val="76470CAA"/>
    <w:rsid w:val="764D1082"/>
    <w:rsid w:val="766F2799"/>
    <w:rsid w:val="76C25BE1"/>
    <w:rsid w:val="76C64EAF"/>
    <w:rsid w:val="76D57A40"/>
    <w:rsid w:val="773B6256"/>
    <w:rsid w:val="77562203"/>
    <w:rsid w:val="782642CC"/>
    <w:rsid w:val="78850FF2"/>
    <w:rsid w:val="788A2AAC"/>
    <w:rsid w:val="78A46F82"/>
    <w:rsid w:val="79372EA7"/>
    <w:rsid w:val="79A35F22"/>
    <w:rsid w:val="79A92CF0"/>
    <w:rsid w:val="79AD0E19"/>
    <w:rsid w:val="79B37BA1"/>
    <w:rsid w:val="7A8A6D94"/>
    <w:rsid w:val="7B1C2CAB"/>
    <w:rsid w:val="7B5829EE"/>
    <w:rsid w:val="7B890DF9"/>
    <w:rsid w:val="7B9B45D9"/>
    <w:rsid w:val="7BF3685D"/>
    <w:rsid w:val="7C06244A"/>
    <w:rsid w:val="7C3C0AA2"/>
    <w:rsid w:val="7C867B67"/>
    <w:rsid w:val="7CBC41CE"/>
    <w:rsid w:val="7D07233B"/>
    <w:rsid w:val="7D40391F"/>
    <w:rsid w:val="7D5942BE"/>
    <w:rsid w:val="7DDF11A4"/>
    <w:rsid w:val="7DF96BCA"/>
    <w:rsid w:val="7E1251F4"/>
    <w:rsid w:val="7E6416AA"/>
    <w:rsid w:val="7E7C3DCD"/>
    <w:rsid w:val="7EE66F59"/>
    <w:rsid w:val="7EF649F8"/>
    <w:rsid w:val="7F136DA3"/>
    <w:rsid w:val="7F1A6E76"/>
    <w:rsid w:val="7F1F783D"/>
    <w:rsid w:val="7FAF396D"/>
    <w:rsid w:val="7FC5298C"/>
    <w:rsid w:val="7FCE6E81"/>
    <w:rsid w:val="7FE65385"/>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autoRedefine/>
    <w:qFormat/>
    <w:uiPriority w:val="1"/>
    <w:pPr>
      <w:keepNext/>
      <w:keepLines/>
      <w:spacing w:before="340" w:after="330" w:line="576" w:lineRule="auto"/>
      <w:outlineLvl w:val="0"/>
    </w:pPr>
    <w:rPr>
      <w:b/>
      <w:kern w:val="44"/>
      <w:sz w:val="44"/>
    </w:rPr>
  </w:style>
  <w:style w:type="paragraph" w:styleId="5">
    <w:name w:val="heading 2"/>
    <w:basedOn w:val="1"/>
    <w:next w:val="1"/>
    <w:link w:val="31"/>
    <w:autoRedefine/>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autoRedefine/>
    <w:unhideWhenUsed/>
    <w:qFormat/>
    <w:uiPriority w:val="1"/>
    <w:pPr>
      <w:keepNext/>
      <w:keepLines/>
      <w:spacing w:before="260" w:after="260" w:line="413" w:lineRule="auto"/>
      <w:outlineLvl w:val="2"/>
    </w:pPr>
    <w:rPr>
      <w:b/>
      <w:sz w:val="32"/>
    </w:rPr>
  </w:style>
  <w:style w:type="paragraph" w:styleId="7">
    <w:name w:val="heading 4"/>
    <w:basedOn w:val="1"/>
    <w:next w:val="1"/>
    <w:link w:val="36"/>
    <w:autoRedefine/>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autoRedefine/>
    <w:unhideWhenUsed/>
    <w:qFormat/>
    <w:uiPriority w:val="1"/>
    <w:pPr>
      <w:keepNext/>
      <w:keepLines/>
      <w:spacing w:before="280" w:after="290" w:line="376" w:lineRule="auto"/>
      <w:outlineLvl w:val="4"/>
    </w:pPr>
    <w:rPr>
      <w:b/>
      <w:bCs/>
      <w:sz w:val="28"/>
      <w:szCs w:val="28"/>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autoRedefine/>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5"/>
    <w:autoRedefine/>
    <w:unhideWhenUsed/>
    <w:qFormat/>
    <w:uiPriority w:val="1"/>
    <w:pPr>
      <w:spacing w:after="120"/>
    </w:pPr>
  </w:style>
  <w:style w:type="paragraph" w:styleId="11">
    <w:name w:val="annotation text"/>
    <w:basedOn w:val="1"/>
    <w:link w:val="27"/>
    <w:autoRedefine/>
    <w:unhideWhenUsed/>
    <w:qFormat/>
    <w:uiPriority w:val="99"/>
    <w:pPr>
      <w:jc w:val="left"/>
    </w:pPr>
  </w:style>
  <w:style w:type="paragraph" w:styleId="12">
    <w:name w:val="Balloon Text"/>
    <w:basedOn w:val="1"/>
    <w:link w:val="37"/>
    <w:autoRedefine/>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autoRedefine/>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Normal (Web)"/>
    <w:basedOn w:val="1"/>
    <w:autoRedefine/>
    <w:qFormat/>
    <w:uiPriority w:val="0"/>
    <w:pPr>
      <w:widowControl/>
      <w:spacing w:before="45" w:beforeLines="0" w:after="45" w:afterLines="0" w:line="432" w:lineRule="auto"/>
      <w:ind w:right="150" w:firstLine="480"/>
      <w:jc w:val="left"/>
    </w:pPr>
    <w:rPr>
      <w:rFonts w:ascii="宋体" w:hAnsi="宋体" w:cs="宋体"/>
      <w:kern w:val="0"/>
      <w:sz w:val="24"/>
    </w:rPr>
  </w:style>
  <w:style w:type="paragraph" w:styleId="19">
    <w:name w:val="annotation subject"/>
    <w:basedOn w:val="11"/>
    <w:next w:val="11"/>
    <w:link w:val="28"/>
    <w:autoRedefine/>
    <w:unhideWhenUsed/>
    <w:qFormat/>
    <w:uiPriority w:val="99"/>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2"/>
    <w:autoRedefine/>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文字 Char"/>
    <w:basedOn w:val="22"/>
    <w:link w:val="11"/>
    <w:autoRedefine/>
    <w:qFormat/>
    <w:uiPriority w:val="99"/>
    <w:rPr>
      <w:rFonts w:ascii="Times New Roman" w:hAnsi="Times New Roman" w:eastAsia="Courier New" w:cs="Times New Roman"/>
      <w:szCs w:val="21"/>
    </w:rPr>
  </w:style>
  <w:style w:type="character" w:customStyle="1" w:styleId="28">
    <w:name w:val="批注主题 Char"/>
    <w:basedOn w:val="27"/>
    <w:link w:val="19"/>
    <w:autoRedefine/>
    <w:semiHidden/>
    <w:qFormat/>
    <w:uiPriority w:val="99"/>
    <w:rPr>
      <w:rFonts w:ascii="Times New Roman" w:hAnsi="Times New Roman" w:eastAsia="Courier New" w:cs="Times New Roman"/>
      <w:b/>
      <w:bCs/>
      <w:szCs w:val="21"/>
    </w:rPr>
  </w:style>
  <w:style w:type="paragraph" w:customStyle="1" w:styleId="29">
    <w:name w:val="独立格式"/>
    <w:basedOn w:val="16"/>
    <w:autoRedefine/>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autoRedefine/>
    <w:qFormat/>
    <w:uiPriority w:val="11"/>
    <w:rPr>
      <w:b/>
      <w:bCs/>
      <w:kern w:val="28"/>
      <w:sz w:val="32"/>
      <w:szCs w:val="32"/>
    </w:rPr>
  </w:style>
  <w:style w:type="character" w:customStyle="1" w:styleId="31">
    <w:name w:val="标题 2 Char"/>
    <w:basedOn w:val="22"/>
    <w:link w:val="5"/>
    <w:autoRedefine/>
    <w:qFormat/>
    <w:uiPriority w:val="9"/>
    <w:rPr>
      <w:rFonts w:ascii="Arial" w:hAnsi="Arial" w:eastAsia="Symbol" w:cs="Times New Roman"/>
      <w:b/>
      <w:bCs/>
      <w:sz w:val="32"/>
      <w:szCs w:val="32"/>
    </w:rPr>
  </w:style>
  <w:style w:type="paragraph" w:customStyle="1" w:styleId="32">
    <w:name w:val="表格名称"/>
    <w:basedOn w:val="1"/>
    <w:autoRedefine/>
    <w:qFormat/>
    <w:uiPriority w:val="0"/>
    <w:pPr>
      <w:spacing w:line="360" w:lineRule="auto"/>
      <w:jc w:val="center"/>
    </w:pPr>
    <w:rPr>
      <w:rFonts w:eastAsia="Helv" w:cs="New York"/>
      <w:b/>
      <w:sz w:val="24"/>
      <w:szCs w:val="24"/>
    </w:rPr>
  </w:style>
  <w:style w:type="paragraph" w:customStyle="1" w:styleId="33">
    <w:name w:val="表格文字"/>
    <w:basedOn w:val="29"/>
    <w:next w:val="1"/>
    <w:autoRedefine/>
    <w:qFormat/>
    <w:uiPriority w:val="0"/>
    <w:pPr>
      <w:spacing w:line="360" w:lineRule="exact"/>
    </w:pPr>
    <w:rPr>
      <w:rFonts w:eastAsia="Helv" w:cs="New York"/>
      <w:sz w:val="24"/>
    </w:rPr>
  </w:style>
  <w:style w:type="character" w:customStyle="1" w:styleId="34">
    <w:name w:val="标题 5 Char"/>
    <w:basedOn w:val="22"/>
    <w:link w:val="8"/>
    <w:autoRedefine/>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autoRedefine/>
    <w:semiHidden/>
    <w:qFormat/>
    <w:uiPriority w:val="99"/>
    <w:rPr>
      <w:rFonts w:ascii="Times New Roman" w:hAnsi="Times New Roman" w:eastAsia="Courier New" w:cs="Times New Roman"/>
      <w:szCs w:val="21"/>
    </w:rPr>
  </w:style>
  <w:style w:type="character" w:customStyle="1" w:styleId="36">
    <w:name w:val="标题 4 Char"/>
    <w:basedOn w:val="22"/>
    <w:link w:val="7"/>
    <w:autoRedefine/>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autoRedefine/>
    <w:semiHidden/>
    <w:qFormat/>
    <w:uiPriority w:val="99"/>
    <w:rPr>
      <w:rFonts w:ascii="Times New Roman" w:hAnsi="Times New Roman" w:eastAsia="Courier New" w:cs="Times New Roman"/>
      <w:kern w:val="2"/>
      <w:sz w:val="18"/>
      <w:szCs w:val="18"/>
    </w:rPr>
  </w:style>
  <w:style w:type="table" w:customStyle="1" w:styleId="38">
    <w:name w:val="Table Normal"/>
    <w:autoRedefine/>
    <w:unhideWhenUsed/>
    <w:qFormat/>
    <w:uiPriority w:val="2"/>
    <w:tblPr>
      <w:tblCellMar>
        <w:top w:w="0" w:type="dxa"/>
        <w:left w:w="0" w:type="dxa"/>
        <w:bottom w:w="0" w:type="dxa"/>
        <w:right w:w="0" w:type="dxa"/>
      </w:tblCellMar>
    </w:tblPr>
  </w:style>
  <w:style w:type="paragraph" w:customStyle="1" w:styleId="39">
    <w:name w:val="List Paragraph"/>
    <w:basedOn w:val="1"/>
    <w:autoRedefine/>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autoRedefine/>
    <w:qFormat/>
    <w:uiPriority w:val="1"/>
    <w:pPr>
      <w:autoSpaceDE w:val="0"/>
      <w:autoSpaceDN w:val="0"/>
      <w:jc w:val="left"/>
    </w:pPr>
    <w:rPr>
      <w:rFonts w:ascii="宋体" w:hAnsi="宋体" w:eastAsia="宋体" w:cs="宋体"/>
      <w:kern w:val="0"/>
      <w:sz w:val="22"/>
      <w:szCs w:val="22"/>
      <w:lang w:eastAsia="en-US"/>
    </w:rPr>
  </w:style>
  <w:style w:type="paragraph" w:customStyle="1" w:styleId="41">
    <w:name w:val="UserStyle_0"/>
    <w:basedOn w:val="1"/>
    <w:autoRedefine/>
    <w:qFormat/>
    <w:uiPriority w:val="0"/>
    <w:pPr>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7595</Words>
  <Characters>7852</Characters>
  <Lines>80</Lines>
  <Paragraphs>22</Paragraphs>
  <TotalTime>21</TotalTime>
  <ScaleCrop>false</ScaleCrop>
  <LinksUpToDate>false</LinksUpToDate>
  <CharactersWithSpaces>9241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恋恋薰依草</cp:lastModifiedBy>
  <cp:lastPrinted>2022-09-03T08:20:00Z</cp:lastPrinted>
  <dcterms:modified xsi:type="dcterms:W3CDTF">2024-02-20T03:44:30Z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ies>
</file>