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jc w:val="center"/>
        <w:rPr>
          <w:rFonts w:eastAsia="黑体" w:cs="宋体"/>
          <w:b/>
          <w:sz w:val="52"/>
          <w:szCs w:val="52"/>
        </w:rPr>
      </w:pPr>
    </w:p>
    <w:p>
      <w:pPr>
        <w:pageBreakBefore w:val="0"/>
        <w:kinsoku/>
        <w:wordWrap/>
        <w:overflowPunct/>
        <w:topLinePunct w:val="0"/>
        <w:bidi w:val="0"/>
        <w:spacing w:line="600" w:lineRule="exact"/>
        <w:jc w:val="center"/>
        <w:rPr>
          <w:rFonts w:eastAsia="黑体" w:cs="宋体"/>
          <w:b/>
          <w:sz w:val="52"/>
          <w:szCs w:val="52"/>
        </w:rPr>
      </w:pPr>
    </w:p>
    <w:p>
      <w:pPr>
        <w:pageBreakBefore w:val="0"/>
        <w:kinsoku/>
        <w:wordWrap/>
        <w:overflowPunct/>
        <w:topLinePunct w:val="0"/>
        <w:bidi w:val="0"/>
        <w:spacing w:line="600" w:lineRule="exact"/>
        <w:jc w:val="left"/>
        <w:rPr>
          <w:rFonts w:ascii="黑体" w:hAnsi="黑体" w:eastAsia="黑体" w:cs="黑体"/>
          <w:b/>
          <w:bCs/>
          <w:sz w:val="32"/>
          <w:szCs w:val="32"/>
        </w:rPr>
      </w:pPr>
    </w:p>
    <w:p>
      <w:pPr>
        <w:pageBreakBefore w:val="0"/>
        <w:kinsoku/>
        <w:wordWrap/>
        <w:overflowPunct/>
        <w:topLinePunct w:val="0"/>
        <w:bidi w:val="0"/>
        <w:spacing w:line="600" w:lineRule="exact"/>
        <w:jc w:val="left"/>
        <w:rPr>
          <w:rFonts w:ascii="Arial" w:hAnsi="Arial" w:eastAsia="Symbol"/>
          <w:b/>
          <w:bCs/>
          <w:sz w:val="32"/>
          <w:szCs w:val="32"/>
        </w:rPr>
      </w:pPr>
    </w:p>
    <w:p>
      <w:pPr>
        <w:pageBreakBefore w:val="0"/>
        <w:kinsoku/>
        <w:wordWrap/>
        <w:overflowPunct/>
        <w:topLinePunct w:val="0"/>
        <w:bidi w:val="0"/>
        <w:spacing w:line="600" w:lineRule="exact"/>
        <w:jc w:val="center"/>
        <w:rPr>
          <w:rFonts w:ascii="Arial" w:hAnsi="Arial" w:eastAsia="宋体"/>
          <w:b/>
          <w:bCs/>
          <w:sz w:val="32"/>
          <w:szCs w:val="32"/>
        </w:rPr>
      </w:pPr>
    </w:p>
    <w:p>
      <w:pPr>
        <w:pageBreakBefore w:val="0"/>
        <w:kinsoku/>
        <w:wordWrap/>
        <w:overflowPunct/>
        <w:topLinePunct w:val="0"/>
        <w:bidi w:val="0"/>
        <w:spacing w:line="600" w:lineRule="exact"/>
        <w:jc w:val="center"/>
        <w:rPr>
          <w:rFonts w:ascii="Arial" w:hAnsi="Arial" w:eastAsia="宋体"/>
          <w:b/>
          <w:bCs/>
          <w:sz w:val="32"/>
          <w:szCs w:val="32"/>
        </w:rPr>
      </w:pPr>
    </w:p>
    <w:p>
      <w:pPr>
        <w:pageBreakBefore w:val="0"/>
        <w:kinsoku/>
        <w:wordWrap/>
        <w:overflowPunct/>
        <w:topLinePunct w:val="0"/>
        <w:bidi w:val="0"/>
        <w:spacing w:line="600" w:lineRule="exact"/>
        <w:jc w:val="center"/>
        <w:rPr>
          <w:rFonts w:ascii="Arial" w:hAnsi="Arial" w:eastAsia="宋体"/>
          <w:b/>
          <w:bCs/>
          <w:sz w:val="32"/>
          <w:szCs w:val="32"/>
        </w:rPr>
      </w:pPr>
    </w:p>
    <w:p>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2023</w:t>
      </w:r>
      <w:r>
        <w:rPr>
          <w:rFonts w:hint="eastAsia" w:ascii="方正小标宋简体" w:hAnsi="方正小标宋简体" w:eastAsia="方正小标宋简体" w:cs="方正小标宋简体"/>
          <w:b w:val="0"/>
          <w:bCs w:val="0"/>
          <w:sz w:val="44"/>
          <w:szCs w:val="44"/>
        </w:rPr>
        <w:t>年度</w:t>
      </w:r>
      <w:r>
        <w:rPr>
          <w:rFonts w:hint="eastAsia" w:ascii="方正小标宋简体" w:hAnsi="方正小标宋简体" w:eastAsia="方正小标宋简体" w:cs="方正小标宋简体"/>
          <w:b w:val="0"/>
          <w:bCs w:val="0"/>
          <w:sz w:val="44"/>
          <w:szCs w:val="44"/>
          <w:lang w:val="en-US" w:eastAsia="zh-CN"/>
        </w:rPr>
        <w:t>包头市民政局</w:t>
      </w:r>
      <w:r>
        <w:rPr>
          <w:rFonts w:hint="eastAsia" w:ascii="方正小标宋简体" w:hAnsi="方正小标宋简体" w:eastAsia="方正小标宋简体" w:cs="方正小标宋简体"/>
          <w:b w:val="0"/>
          <w:bCs w:val="0"/>
          <w:sz w:val="44"/>
          <w:szCs w:val="44"/>
        </w:rPr>
        <w:t>预算公开</w:t>
      </w: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rPr>
          <w:rFonts w:hint="eastAsia" w:ascii="黑体" w:hAnsi="黑体" w:eastAsia="黑体" w:cs="黑体"/>
          <w:sz w:val="32"/>
          <w:szCs w:val="32"/>
        </w:rPr>
      </w:pPr>
    </w:p>
    <w:p>
      <w:pPr>
        <w:pageBreakBefore w:val="0"/>
        <w:kinsoku/>
        <w:wordWrap/>
        <w:overflowPunct/>
        <w:topLinePunct w:val="0"/>
        <w:bidi w:val="0"/>
        <w:adjustRightInd w:val="0"/>
        <w:snapToGrid w:val="0"/>
        <w:spacing w:line="600" w:lineRule="exact"/>
        <w:jc w:val="center"/>
        <w:rPr>
          <w:rFonts w:ascii="黑体" w:hAnsi="黑体" w:eastAsia="黑体" w:cs="黑体"/>
          <w:sz w:val="32"/>
          <w:szCs w:val="32"/>
        </w:rPr>
      </w:pPr>
      <w:r>
        <w:rPr>
          <w:rFonts w:hint="eastAsia" w:ascii="黑体" w:hAnsi="黑体" w:eastAsia="黑体" w:cs="黑体"/>
          <w:sz w:val="32"/>
          <w:szCs w:val="32"/>
        </w:rPr>
        <w:t>批复时间：</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2023</w:t>
      </w:r>
      <w:r>
        <w:rPr>
          <w:rFonts w:hint="eastAsia" w:ascii="黑体" w:hAnsi="黑体" w:eastAsia="黑体" w:cs="黑体"/>
          <w:sz w:val="32"/>
          <w:szCs w:val="32"/>
          <w:u w:val="single"/>
        </w:rPr>
        <w:t xml:space="preserve">   年  </w:t>
      </w:r>
      <w:r>
        <w:rPr>
          <w:rFonts w:hint="eastAsia" w:ascii="黑体" w:hAnsi="黑体" w:eastAsia="黑体" w:cs="黑体"/>
          <w:sz w:val="32"/>
          <w:szCs w:val="32"/>
          <w:u w:val="single"/>
          <w:lang w:val="en-US" w:eastAsia="zh-CN"/>
        </w:rPr>
        <w:t>1</w:t>
      </w:r>
      <w:r>
        <w:rPr>
          <w:rFonts w:hint="eastAsia" w:ascii="黑体" w:hAnsi="黑体" w:eastAsia="黑体" w:cs="黑体"/>
          <w:sz w:val="32"/>
          <w:szCs w:val="32"/>
          <w:u w:val="single"/>
        </w:rPr>
        <w:t xml:space="preserve">  月  </w:t>
      </w:r>
      <w:r>
        <w:rPr>
          <w:rFonts w:hint="eastAsia" w:ascii="黑体" w:hAnsi="黑体" w:eastAsia="黑体" w:cs="黑体"/>
          <w:sz w:val="32"/>
          <w:szCs w:val="32"/>
          <w:u w:val="single"/>
          <w:lang w:val="en-US" w:eastAsia="zh-CN"/>
        </w:rPr>
        <w:t>28</w:t>
      </w:r>
      <w:r>
        <w:rPr>
          <w:rFonts w:hint="eastAsia" w:ascii="黑体" w:hAnsi="黑体" w:eastAsia="黑体" w:cs="黑体"/>
          <w:sz w:val="32"/>
          <w:szCs w:val="32"/>
          <w:u w:val="single"/>
        </w:rPr>
        <w:t xml:space="preserve">  日</w:t>
      </w:r>
    </w:p>
    <w:p>
      <w:pPr>
        <w:pStyle w:val="2"/>
        <w:pageBreakBefore w:val="0"/>
        <w:kinsoku/>
        <w:wordWrap/>
        <w:overflowPunct/>
        <w:topLinePunct w:val="0"/>
        <w:bidi w:val="0"/>
        <w:spacing w:after="0" w:line="600" w:lineRule="exact"/>
        <w:ind w:left="0" w:leftChars="0" w:firstLine="0" w:firstLineChars="0"/>
        <w:jc w:val="center"/>
        <w:rPr>
          <w:rFonts w:hint="default" w:ascii="黑体" w:hAnsi="黑体" w:eastAsia="黑体" w:cs="黑体"/>
        </w:rPr>
      </w:pPr>
      <w:r>
        <w:rPr>
          <w:rFonts w:ascii="黑体" w:hAnsi="黑体" w:eastAsia="黑体" w:cs="黑体"/>
          <w:sz w:val="32"/>
          <w:szCs w:val="32"/>
        </w:rPr>
        <w:t>公开时间：</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2023</w:t>
      </w:r>
      <w:r>
        <w:rPr>
          <w:rFonts w:hint="eastAsia" w:ascii="黑体" w:hAnsi="黑体" w:eastAsia="黑体" w:cs="黑体"/>
          <w:sz w:val="32"/>
          <w:szCs w:val="32"/>
          <w:u w:val="single"/>
        </w:rPr>
        <w:t xml:space="preserve">   年  </w:t>
      </w:r>
      <w:r>
        <w:rPr>
          <w:rFonts w:hint="eastAsia" w:ascii="黑体" w:hAnsi="黑体" w:eastAsia="黑体" w:cs="黑体"/>
          <w:sz w:val="32"/>
          <w:szCs w:val="32"/>
          <w:u w:val="single"/>
          <w:lang w:val="en-US" w:eastAsia="zh-CN"/>
        </w:rPr>
        <w:t>2</w:t>
      </w:r>
      <w:r>
        <w:rPr>
          <w:rFonts w:hint="eastAsia" w:ascii="黑体" w:hAnsi="黑体" w:eastAsia="黑体" w:cs="黑体"/>
          <w:sz w:val="32"/>
          <w:szCs w:val="32"/>
          <w:u w:val="single"/>
        </w:rPr>
        <w:t xml:space="preserve">  月  </w:t>
      </w:r>
      <w:r>
        <w:rPr>
          <w:rFonts w:hint="eastAsia" w:ascii="黑体" w:hAnsi="黑体" w:eastAsia="黑体" w:cs="黑体"/>
          <w:sz w:val="32"/>
          <w:szCs w:val="32"/>
          <w:u w:val="single"/>
          <w:lang w:val="en-US" w:eastAsia="zh-CN"/>
        </w:rPr>
        <w:t>1</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日</w:t>
      </w: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Style w:val="5"/>
        <w:pageBreakBefore w:val="0"/>
        <w:tabs>
          <w:tab w:val="left" w:pos="4533"/>
        </w:tabs>
        <w:kinsoku/>
        <w:wordWrap/>
        <w:overflowPunct/>
        <w:topLinePunct w:val="0"/>
        <w:bidi w:val="0"/>
        <w:spacing w:before="0" w:after="0" w:line="600" w:lineRule="exact"/>
        <w:ind w:firstLine="0" w:firstLineChars="0"/>
        <w:jc w:val="center"/>
        <w:rPr>
          <w:sz w:val="44"/>
          <w:szCs w:val="44"/>
          <w:u w:color="FFFFFF" w:themeColor="background1"/>
        </w:rPr>
      </w:pPr>
      <w:r>
        <w:rPr>
          <w:sz w:val="44"/>
          <w:szCs w:val="44"/>
          <w:u w:color="FFFFFF" w:themeColor="background1"/>
        </w:rPr>
        <w:t>目</w:t>
      </w:r>
      <w:r>
        <w:rPr>
          <w:rFonts w:hint="eastAsia" w:eastAsia="宋体"/>
          <w:sz w:val="44"/>
          <w:szCs w:val="44"/>
          <w:u w:color="FFFFFF" w:themeColor="background1"/>
        </w:rPr>
        <w:t xml:space="preserve">  </w:t>
      </w:r>
      <w:r>
        <w:rPr>
          <w:rFonts w:hint="eastAsia"/>
          <w:sz w:val="44"/>
          <w:szCs w:val="44"/>
          <w:u w:color="FFFFFF" w:themeColor="background1"/>
        </w:rPr>
        <w:t xml:space="preserve">  </w:t>
      </w:r>
      <w:r>
        <w:rPr>
          <w:sz w:val="44"/>
          <w:szCs w:val="44"/>
          <w:u w:color="FFFFFF" w:themeColor="background1"/>
        </w:rPr>
        <w:t>录</w:t>
      </w:r>
    </w:p>
    <w:p>
      <w:pPr>
        <w:rPr>
          <w:u w:color="FFFFFF" w:themeColor="background1"/>
        </w:rPr>
      </w:pPr>
    </w:p>
    <w:p>
      <w:pPr>
        <w:pStyle w:val="10"/>
        <w:pageBreakBefore w:val="0"/>
        <w:kinsoku/>
        <w:wordWrap/>
        <w:overflowPunct/>
        <w:topLinePunct w:val="0"/>
        <w:bidi w:val="0"/>
        <w:spacing w:after="0" w:line="600" w:lineRule="exact"/>
        <w:rPr>
          <w:rFonts w:ascii="黑体" w:hAnsi="黑体" w:eastAsia="黑体" w:cs="黑体"/>
          <w:sz w:val="32"/>
          <w:szCs w:val="32"/>
          <w:u w:color="FFFFFF" w:themeColor="background1"/>
        </w:rPr>
      </w:pPr>
      <w:r>
        <w:rPr>
          <w:rFonts w:hint="eastAsia" w:ascii="黑体" w:hAnsi="黑体" w:eastAsia="黑体" w:cs="黑体"/>
          <w:sz w:val="32"/>
          <w:szCs w:val="32"/>
          <w:u w:color="FFFFFF" w:themeColor="background1"/>
        </w:rPr>
        <w:t>第一部分 单位概况</w:t>
      </w:r>
    </w:p>
    <w:p>
      <w:pPr>
        <w:pStyle w:val="10"/>
        <w:pageBreakBefore w:val="0"/>
        <w:kinsoku/>
        <w:wordWrap/>
        <w:overflowPunct/>
        <w:topLinePunct w:val="0"/>
        <w:bidi w:val="0"/>
        <w:spacing w:after="0" w:line="600" w:lineRule="exact"/>
        <w:rPr>
          <w:rFonts w:ascii="仿宋" w:hAnsi="仿宋" w:eastAsia="仿宋" w:cs="仿宋"/>
          <w:sz w:val="32"/>
          <w:szCs w:val="32"/>
          <w:highlight w:val="yellow"/>
          <w:u w:color="FFFFFF" w:themeColor="background1"/>
        </w:rPr>
      </w:pPr>
      <w:r>
        <w:rPr>
          <w:rFonts w:hint="eastAsia" w:ascii="仿宋" w:hAnsi="仿宋" w:eastAsia="仿宋" w:cs="仿宋"/>
          <w:w w:val="95"/>
          <w:sz w:val="32"/>
          <w:szCs w:val="32"/>
          <w:u w:color="FFFFFF" w:themeColor="background1"/>
        </w:rPr>
        <w:t>一、主要职能、职责</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二、单位机构设置及预算单位构成情况</w:t>
      </w:r>
    </w:p>
    <w:p>
      <w:pPr>
        <w:pStyle w:val="10"/>
        <w:pageBreakBefore w:val="0"/>
        <w:kinsoku/>
        <w:wordWrap/>
        <w:overflowPunct/>
        <w:topLinePunct w:val="0"/>
        <w:bidi w:val="0"/>
        <w:spacing w:after="0" w:line="600" w:lineRule="exact"/>
        <w:rPr>
          <w:rFonts w:ascii="黑体" w:hAnsi="黑体" w:eastAsia="黑体" w:cs="黑体"/>
          <w:sz w:val="32"/>
          <w:szCs w:val="32"/>
          <w:u w:color="FFFFFF" w:themeColor="background1"/>
        </w:rPr>
      </w:pPr>
      <w:r>
        <w:rPr>
          <w:rFonts w:hint="eastAsia" w:ascii="仿宋" w:hAnsi="仿宋" w:eastAsia="仿宋" w:cs="仿宋"/>
          <w:sz w:val="32"/>
          <w:szCs w:val="32"/>
          <w:u w:color="FFFFFF" w:themeColor="background1"/>
        </w:rPr>
        <w:t>三、</w:t>
      </w:r>
      <w:r>
        <w:rPr>
          <w:rFonts w:hint="eastAsia" w:ascii="仿宋" w:hAnsi="仿宋" w:eastAsia="仿宋" w:cs="仿宋"/>
          <w:sz w:val="32"/>
          <w:szCs w:val="32"/>
          <w:u w:color="FFFFFF" w:themeColor="background1"/>
          <w:lang w:val="en-US" w:eastAsia="zh-CN"/>
        </w:rPr>
        <w:t>2023</w:t>
      </w:r>
      <w:r>
        <w:rPr>
          <w:rFonts w:hint="eastAsia" w:ascii="仿宋" w:hAnsi="仿宋" w:eastAsia="仿宋" w:cs="仿宋"/>
          <w:sz w:val="32"/>
          <w:szCs w:val="32"/>
          <w:u w:color="FFFFFF" w:themeColor="background1"/>
        </w:rPr>
        <w:t>年度单位主要工作任务及目标</w:t>
      </w:r>
    </w:p>
    <w:p>
      <w:pPr>
        <w:pStyle w:val="10"/>
        <w:pageBreakBefore w:val="0"/>
        <w:kinsoku/>
        <w:wordWrap/>
        <w:overflowPunct/>
        <w:topLinePunct w:val="0"/>
        <w:bidi w:val="0"/>
        <w:spacing w:after="0" w:line="600" w:lineRule="exact"/>
        <w:rPr>
          <w:rFonts w:ascii="黑体" w:hAnsi="黑体" w:eastAsia="黑体" w:cs="黑体"/>
          <w:sz w:val="32"/>
          <w:szCs w:val="32"/>
          <w:u w:color="FFFFFF" w:themeColor="background1"/>
        </w:rPr>
      </w:pPr>
      <w:r>
        <w:rPr>
          <w:rFonts w:hint="eastAsia" w:ascii="黑体" w:hAnsi="黑体" w:eastAsia="黑体" w:cs="黑体"/>
          <w:sz w:val="32"/>
          <w:szCs w:val="32"/>
          <w:u w:color="FFFFFF" w:themeColor="background1"/>
        </w:rPr>
        <w:t xml:space="preserve">第二部分 </w:t>
      </w:r>
      <w:r>
        <w:rPr>
          <w:rFonts w:hint="eastAsia" w:ascii="黑体" w:hAnsi="黑体" w:eastAsia="黑体" w:cs="黑体"/>
          <w:sz w:val="32"/>
          <w:szCs w:val="32"/>
          <w:u w:color="FFFFFF" w:themeColor="background1"/>
          <w:lang w:val="en-US" w:eastAsia="zh-CN"/>
        </w:rPr>
        <w:t>2023</w:t>
      </w:r>
      <w:r>
        <w:rPr>
          <w:rFonts w:hint="eastAsia" w:ascii="黑体" w:hAnsi="黑体" w:eastAsia="黑体" w:cs="黑体"/>
          <w:sz w:val="32"/>
          <w:szCs w:val="32"/>
          <w:u w:color="FFFFFF" w:themeColor="background1"/>
        </w:rPr>
        <w:t>年度单位预算情况说明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一、收支预算总体情况说明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二、收入预算情况说明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三、支出预算情况说明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四、财政拨款收支预算总体情况说明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五、一般公共预算支出预算情况说明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六、一般公共预算基本支出预算情况说明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七、一般公共预算“三公”经费支出预算情况说明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八、政府性基金预算支出预算情况说明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九、国有资本经营预算支出预算情况说明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十、项目支出预算情况说明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十一、一般公共预算机关运行经费支出预算情况说明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十二、政府采购支出预算情况说明</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十三、国有资产占用情况说明</w:t>
      </w:r>
    </w:p>
    <w:p>
      <w:pPr>
        <w:pageBreakBefore w:val="0"/>
        <w:widowControl/>
        <w:kinsoku/>
        <w:wordWrap/>
        <w:overflowPunct/>
        <w:topLinePunct w:val="0"/>
        <w:bidi w:val="0"/>
        <w:spacing w:line="600" w:lineRule="exact"/>
        <w:jc w:val="lef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 xml:space="preserve">十四、项目绩效目标情况说明 </w:t>
      </w:r>
    </w:p>
    <w:p>
      <w:pPr>
        <w:pStyle w:val="10"/>
        <w:pageBreakBefore w:val="0"/>
        <w:kinsoku/>
        <w:wordWrap/>
        <w:overflowPunct/>
        <w:topLinePunct w:val="0"/>
        <w:bidi w:val="0"/>
        <w:spacing w:after="0" w:line="600" w:lineRule="exact"/>
        <w:rPr>
          <w:rFonts w:ascii="黑体" w:hAnsi="黑体" w:eastAsia="黑体" w:cs="黑体"/>
          <w:sz w:val="32"/>
          <w:szCs w:val="32"/>
          <w:u w:color="FFFFFF" w:themeColor="background1"/>
        </w:rPr>
      </w:pPr>
      <w:r>
        <w:rPr>
          <w:rFonts w:hint="eastAsia" w:ascii="黑体" w:hAnsi="黑体" w:eastAsia="黑体" w:cs="黑体"/>
          <w:sz w:val="32"/>
          <w:szCs w:val="32"/>
          <w:u w:color="FFFFFF" w:themeColor="background1"/>
        </w:rPr>
        <w:t>第三部分 名词解释</w:t>
      </w:r>
    </w:p>
    <w:p>
      <w:pPr>
        <w:pStyle w:val="10"/>
        <w:pageBreakBefore w:val="0"/>
        <w:kinsoku/>
        <w:wordWrap/>
        <w:overflowPunct/>
        <w:topLinePunct w:val="0"/>
        <w:bidi w:val="0"/>
        <w:spacing w:after="0" w:line="600" w:lineRule="exact"/>
        <w:rPr>
          <w:rFonts w:ascii="黑体" w:hAnsi="黑体" w:eastAsia="黑体" w:cs="黑体"/>
          <w:sz w:val="32"/>
          <w:szCs w:val="32"/>
          <w:u w:color="FFFFFF" w:themeColor="background1"/>
        </w:rPr>
      </w:pPr>
      <w:r>
        <w:rPr>
          <w:rFonts w:hint="eastAsia" w:ascii="黑体" w:hAnsi="黑体" w:eastAsia="黑体" w:cs="黑体"/>
          <w:sz w:val="32"/>
          <w:szCs w:val="32"/>
          <w:u w:color="FFFFFF" w:themeColor="background1"/>
        </w:rPr>
        <w:t>第四部分 预算公开联系方式及信息反馈渠道</w:t>
      </w:r>
    </w:p>
    <w:p>
      <w:pPr>
        <w:pStyle w:val="10"/>
        <w:pageBreakBefore w:val="0"/>
        <w:kinsoku/>
        <w:wordWrap/>
        <w:overflowPunct/>
        <w:topLinePunct w:val="0"/>
        <w:bidi w:val="0"/>
        <w:spacing w:after="0" w:line="600" w:lineRule="exact"/>
        <w:rPr>
          <w:rFonts w:ascii="黑体" w:hAnsi="黑体" w:eastAsia="黑体" w:cs="黑体"/>
          <w:sz w:val="32"/>
          <w:szCs w:val="32"/>
          <w:u w:color="FFFFFF" w:themeColor="background1"/>
        </w:rPr>
      </w:pPr>
      <w:r>
        <w:rPr>
          <w:rFonts w:hint="eastAsia" w:ascii="黑体" w:hAnsi="黑体" w:eastAsia="黑体" w:cs="黑体"/>
          <w:sz w:val="32"/>
          <w:szCs w:val="32"/>
          <w:u w:color="FFFFFF" w:themeColor="background1"/>
        </w:rPr>
        <w:t xml:space="preserve">第五部分 </w:t>
      </w:r>
      <w:r>
        <w:rPr>
          <w:rFonts w:hint="eastAsia" w:ascii="黑体" w:hAnsi="黑体" w:eastAsia="黑体" w:cs="黑体"/>
          <w:sz w:val="32"/>
          <w:szCs w:val="32"/>
          <w:u w:color="FFFFFF" w:themeColor="background1"/>
          <w:lang w:val="en-US" w:eastAsia="zh-CN"/>
        </w:rPr>
        <w:t>2023</w:t>
      </w:r>
      <w:r>
        <w:rPr>
          <w:rFonts w:hint="eastAsia" w:ascii="黑体" w:hAnsi="黑体" w:eastAsia="黑体" w:cs="黑体"/>
          <w:sz w:val="32"/>
          <w:szCs w:val="32"/>
          <w:u w:color="FFFFFF" w:themeColor="background1"/>
        </w:rPr>
        <w:t>年度单位预算表</w:t>
      </w:r>
    </w:p>
    <w:p>
      <w:pPr>
        <w:pStyle w:val="10"/>
        <w:pageBreakBefore w:val="0"/>
        <w:numPr>
          <w:ilvl w:val="0"/>
          <w:numId w:val="1"/>
        </w:numPr>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收支总表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二、收入总表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w w:val="95"/>
          <w:sz w:val="32"/>
          <w:szCs w:val="32"/>
          <w:u w:color="FFFFFF" w:themeColor="background1"/>
        </w:rPr>
        <w:t>三、支出总表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w w:val="95"/>
          <w:sz w:val="32"/>
          <w:szCs w:val="32"/>
          <w:u w:color="FFFFFF" w:themeColor="background1"/>
        </w:rPr>
        <w:t>四、财政拨款收支总表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w w:val="95"/>
          <w:sz w:val="32"/>
          <w:szCs w:val="32"/>
          <w:u w:color="FFFFFF" w:themeColor="background1"/>
        </w:rPr>
        <w:t>五、一般公共预算支出表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w w:val="95"/>
          <w:sz w:val="32"/>
          <w:szCs w:val="32"/>
          <w:u w:color="FFFFFF" w:themeColor="background1"/>
        </w:rPr>
        <w:t>六、一般公共预算基本支出表</w:t>
      </w:r>
    </w:p>
    <w:p>
      <w:pPr>
        <w:pStyle w:val="10"/>
        <w:pageBreakBefore w:val="0"/>
        <w:kinsoku/>
        <w:wordWrap/>
        <w:overflowPunct/>
        <w:topLinePunct w:val="0"/>
        <w:bidi w:val="0"/>
        <w:spacing w:after="0" w:line="600" w:lineRule="exact"/>
        <w:rPr>
          <w:rFonts w:ascii="仿宋" w:hAnsi="仿宋" w:eastAsia="仿宋" w:cs="仿宋"/>
          <w:spacing w:val="-16"/>
          <w:w w:val="95"/>
          <w:sz w:val="32"/>
          <w:szCs w:val="32"/>
          <w:u w:color="FFFFFF" w:themeColor="background1"/>
        </w:rPr>
      </w:pPr>
      <w:r>
        <w:rPr>
          <w:rFonts w:hint="eastAsia" w:ascii="仿宋" w:hAnsi="仿宋" w:eastAsia="仿宋" w:cs="仿宋"/>
          <w:spacing w:val="-17"/>
          <w:w w:val="95"/>
          <w:sz w:val="32"/>
          <w:szCs w:val="32"/>
          <w:u w:color="FFFFFF" w:themeColor="background1"/>
        </w:rPr>
        <w:t>七、一般公共预算</w:t>
      </w:r>
      <w:r>
        <w:rPr>
          <w:rFonts w:hint="eastAsia" w:ascii="仿宋" w:hAnsi="仿宋" w:eastAsia="仿宋" w:cs="仿宋"/>
          <w:spacing w:val="-8"/>
          <w:w w:val="95"/>
          <w:sz w:val="32"/>
          <w:szCs w:val="32"/>
          <w:u w:color="FFFFFF" w:themeColor="background1"/>
        </w:rPr>
        <w:t>“</w:t>
      </w:r>
      <w:r>
        <w:rPr>
          <w:rFonts w:hint="eastAsia" w:ascii="仿宋" w:hAnsi="仿宋" w:eastAsia="仿宋" w:cs="仿宋"/>
          <w:spacing w:val="-15"/>
          <w:w w:val="95"/>
          <w:sz w:val="32"/>
          <w:szCs w:val="32"/>
          <w:u w:color="FFFFFF" w:themeColor="background1"/>
        </w:rPr>
        <w:t>三公</w:t>
      </w:r>
      <w:r>
        <w:rPr>
          <w:rFonts w:hint="eastAsia" w:ascii="仿宋" w:hAnsi="仿宋" w:eastAsia="仿宋" w:cs="仿宋"/>
          <w:spacing w:val="-10"/>
          <w:w w:val="95"/>
          <w:sz w:val="32"/>
          <w:szCs w:val="32"/>
          <w:u w:color="FFFFFF" w:themeColor="background1"/>
        </w:rPr>
        <w:t>”</w:t>
      </w:r>
      <w:r>
        <w:rPr>
          <w:rFonts w:hint="eastAsia" w:ascii="仿宋" w:hAnsi="仿宋" w:eastAsia="仿宋" w:cs="仿宋"/>
          <w:spacing w:val="-16"/>
          <w:w w:val="95"/>
          <w:sz w:val="32"/>
          <w:szCs w:val="32"/>
          <w:u w:color="FFFFFF" w:themeColor="background1"/>
        </w:rPr>
        <w:t>经费支出表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pacing w:val="-16"/>
          <w:w w:val="95"/>
          <w:sz w:val="32"/>
          <w:szCs w:val="32"/>
          <w:u w:color="FFFFFF" w:themeColor="background1"/>
        </w:rPr>
        <w:t>八、政府性基金预算支出表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九、国有资本经营预算支出表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十、项目支出表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sz w:val="32"/>
          <w:szCs w:val="32"/>
          <w:u w:color="FFFFFF" w:themeColor="background1"/>
        </w:rPr>
        <w:t>十一、项目绩效目标表</w:t>
      </w:r>
    </w:p>
    <w:p>
      <w:pPr>
        <w:pStyle w:val="10"/>
        <w:pageBreakBefore w:val="0"/>
        <w:kinsoku/>
        <w:wordWrap/>
        <w:overflowPunct/>
        <w:topLinePunct w:val="0"/>
        <w:bidi w:val="0"/>
        <w:spacing w:after="0" w:line="600" w:lineRule="exact"/>
        <w:rPr>
          <w:rFonts w:ascii="仿宋" w:hAnsi="仿宋" w:eastAsia="仿宋" w:cs="仿宋"/>
          <w:sz w:val="32"/>
          <w:szCs w:val="32"/>
          <w:u w:color="FFFFFF" w:themeColor="background1"/>
        </w:rPr>
      </w:pPr>
      <w:r>
        <w:rPr>
          <w:rFonts w:hint="eastAsia" w:ascii="仿宋" w:hAnsi="仿宋" w:eastAsia="仿宋" w:cs="仿宋"/>
          <w:w w:val="95"/>
          <w:sz w:val="32"/>
          <w:szCs w:val="32"/>
          <w:u w:color="FFFFFF" w:themeColor="background1"/>
        </w:rPr>
        <w:t>十二、政府采购预算表</w:t>
      </w:r>
    </w:p>
    <w:p>
      <w:pPr>
        <w:pStyle w:val="2"/>
        <w:pageBreakBefore w:val="0"/>
        <w:kinsoku/>
        <w:wordWrap/>
        <w:overflowPunct/>
        <w:topLinePunct w:val="0"/>
        <w:bidi w:val="0"/>
        <w:spacing w:after="0" w:line="600" w:lineRule="exact"/>
        <w:rPr>
          <w:rFonts w:hint="default"/>
          <w:u w:color="FFFFFF" w:themeColor="background1"/>
        </w:rPr>
        <w:sectPr>
          <w:headerReference r:id="rId3" w:type="default"/>
          <w:footerReference r:id="rId4" w:type="default"/>
          <w:pgSz w:w="11910" w:h="16840"/>
          <w:pgMar w:top="1582" w:right="1680" w:bottom="278" w:left="1640" w:header="720" w:footer="720" w:gutter="0"/>
          <w:pgNumType w:fmt="numberInDash"/>
          <w:cols w:space="0" w:num="1"/>
        </w:sectPr>
      </w:pP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color="FFFFFF" w:themeColor="background1"/>
        </w:rPr>
      </w:pPr>
      <w:r>
        <w:rPr>
          <w:rFonts w:hint="eastAsia" w:ascii="方正小标宋简体" w:hAnsi="方正小标宋简体" w:eastAsia="方正小标宋简体" w:cs="方正小标宋简体"/>
          <w:b w:val="0"/>
          <w:bCs w:val="0"/>
          <w:sz w:val="36"/>
          <w:szCs w:val="36"/>
          <w:u w:color="FFFFFF" w:themeColor="background1"/>
        </w:rPr>
        <w:t>第一部分  单位概况</w:t>
      </w:r>
    </w:p>
    <w:p>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color="FFFFFF" w:themeColor="background1"/>
        </w:rPr>
      </w:pPr>
    </w:p>
    <w:p>
      <w:pPr>
        <w:pageBreakBefore w:val="0"/>
        <w:numPr>
          <w:ilvl w:val="0"/>
          <w:numId w:val="2"/>
        </w:numPr>
        <w:kinsoku/>
        <w:wordWrap/>
        <w:overflowPunct/>
        <w:topLinePunct w:val="0"/>
        <w:bidi w:val="0"/>
        <w:spacing w:line="600" w:lineRule="exact"/>
        <w:ind w:left="17" w:leftChars="8" w:firstLine="624" w:firstLineChars="195"/>
        <w:outlineLvl w:val="0"/>
        <w:rPr>
          <w:rFonts w:hint="eastAsia" w:eastAsia="黑体" w:cs="黑体"/>
          <w:b w:val="0"/>
          <w:bCs w:val="0"/>
          <w:sz w:val="32"/>
          <w:szCs w:val="36"/>
          <w:u w:color="FFFFFF" w:themeColor="background1"/>
        </w:rPr>
      </w:pPr>
      <w:r>
        <w:rPr>
          <w:rFonts w:hint="eastAsia" w:eastAsia="黑体" w:cs="黑体"/>
          <w:b w:val="0"/>
          <w:bCs w:val="0"/>
          <w:sz w:val="32"/>
          <w:szCs w:val="36"/>
          <w:u w:color="FFFFFF" w:themeColor="background1"/>
        </w:rPr>
        <w:t>主要职能职责</w:t>
      </w:r>
    </w:p>
    <w:p>
      <w:pPr>
        <w:pageBreakBefore w:val="0"/>
        <w:numPr>
          <w:ilvl w:val="0"/>
          <w:numId w:val="0"/>
        </w:numPr>
        <w:kinsoku/>
        <w:wordWrap/>
        <w:overflowPunct/>
        <w:topLinePunct w:val="0"/>
        <w:bidi w:val="0"/>
        <w:spacing w:line="570" w:lineRule="exact"/>
        <w:ind w:firstLine="676" w:firstLineChars="200"/>
        <w:outlineLvl w:val="0"/>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9"/>
          <w:sz w:val="32"/>
          <w:szCs w:val="32"/>
          <w:u w:color="FFFFFF" w:themeColor="background1"/>
        </w:rPr>
        <w:t>根据《中共包头市委办公室、包头市人民政府办公室</w:t>
      </w:r>
      <w:r>
        <w:rPr>
          <w:rFonts w:hint="eastAsia" w:ascii="仿宋_GB2312" w:hAnsi="仿宋_GB2312" w:eastAsia="仿宋_GB2312" w:cs="仿宋_GB2312"/>
          <w:spacing w:val="7"/>
          <w:sz w:val="32"/>
          <w:szCs w:val="32"/>
          <w:u w:color="FFFFFF" w:themeColor="background1"/>
        </w:rPr>
        <w:t>关</w:t>
      </w:r>
      <w:r>
        <w:rPr>
          <w:rFonts w:hint="eastAsia" w:ascii="仿宋_GB2312" w:hAnsi="仿宋_GB2312" w:eastAsia="仿宋_GB2312" w:cs="仿宋_GB2312"/>
          <w:spacing w:val="4"/>
          <w:sz w:val="32"/>
          <w:szCs w:val="32"/>
          <w:u w:color="FFFFFF" w:themeColor="background1"/>
        </w:rPr>
        <w:t>于印发〈</w:t>
      </w:r>
      <w:r>
        <w:rPr>
          <w:rFonts w:hint="eastAsia" w:ascii="仿宋_GB2312" w:hAnsi="仿宋_GB2312" w:eastAsia="仿宋_GB2312" w:cs="仿宋_GB2312"/>
          <w:spacing w:val="2"/>
          <w:sz w:val="32"/>
          <w:szCs w:val="32"/>
          <w:u w:color="FFFFFF" w:themeColor="background1"/>
        </w:rPr>
        <w:t>包头市民政局职能配置、内设机构和人员编制规定〉</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14"/>
          <w:sz w:val="32"/>
          <w:szCs w:val="32"/>
          <w:u w:color="FFFFFF" w:themeColor="background1"/>
        </w:rPr>
        <w:t>的</w:t>
      </w:r>
      <w:r>
        <w:rPr>
          <w:rFonts w:hint="eastAsia" w:ascii="仿宋_GB2312" w:hAnsi="仿宋_GB2312" w:eastAsia="仿宋_GB2312" w:cs="仿宋_GB2312"/>
          <w:spacing w:val="-9"/>
          <w:sz w:val="32"/>
          <w:szCs w:val="32"/>
          <w:u w:color="FFFFFF" w:themeColor="background1"/>
        </w:rPr>
        <w:t>通</w:t>
      </w:r>
      <w:r>
        <w:rPr>
          <w:rFonts w:hint="eastAsia" w:ascii="仿宋_GB2312" w:hAnsi="仿宋_GB2312" w:eastAsia="仿宋_GB2312" w:cs="仿宋_GB2312"/>
          <w:spacing w:val="-7"/>
          <w:sz w:val="32"/>
          <w:szCs w:val="32"/>
          <w:u w:color="FFFFFF" w:themeColor="background1"/>
        </w:rPr>
        <w:t>知》( 室发〔2019〕33 号 ) 精神，包头市民政局是市人</w:t>
      </w:r>
      <w:r>
        <w:rPr>
          <w:rFonts w:hint="eastAsia" w:ascii="仿宋_GB2312" w:hAnsi="仿宋_GB2312" w:eastAsia="仿宋_GB2312" w:cs="仿宋_GB2312"/>
          <w:spacing w:val="8"/>
          <w:sz w:val="32"/>
          <w:szCs w:val="32"/>
          <w:u w:color="FFFFFF" w:themeColor="background1"/>
        </w:rPr>
        <w:t>民</w:t>
      </w:r>
      <w:r>
        <w:rPr>
          <w:rFonts w:hint="eastAsia" w:ascii="仿宋_GB2312" w:hAnsi="仿宋_GB2312" w:eastAsia="仿宋_GB2312" w:cs="仿宋_GB2312"/>
          <w:spacing w:val="7"/>
          <w:sz w:val="32"/>
          <w:szCs w:val="32"/>
          <w:u w:color="FFFFFF" w:themeColor="background1"/>
        </w:rPr>
        <w:t>政府工作部门，为正处级。</w:t>
      </w:r>
    </w:p>
    <w:p>
      <w:pPr>
        <w:pageBreakBefore w:val="0"/>
        <w:kinsoku/>
        <w:wordWrap/>
        <w:overflowPunct/>
        <w:topLinePunct w:val="0"/>
        <w:bidi w:val="0"/>
        <w:spacing w:before="188" w:line="570" w:lineRule="exact"/>
        <w:ind w:left="26" w:right="156" w:firstLine="680"/>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26"/>
          <w:sz w:val="32"/>
          <w:szCs w:val="32"/>
          <w:u w:color="FFFFFF" w:themeColor="background1"/>
        </w:rPr>
        <w:t>1</w:t>
      </w:r>
      <w:r>
        <w:rPr>
          <w:rFonts w:hint="eastAsia" w:ascii="仿宋_GB2312" w:hAnsi="仿宋_GB2312" w:eastAsia="仿宋_GB2312" w:cs="仿宋_GB2312"/>
          <w:spacing w:val="14"/>
          <w:sz w:val="32"/>
          <w:szCs w:val="32"/>
          <w:u w:color="FFFFFF" w:themeColor="background1"/>
        </w:rPr>
        <w:t>、</w:t>
      </w:r>
      <w:r>
        <w:rPr>
          <w:rFonts w:hint="eastAsia" w:ascii="仿宋_GB2312" w:hAnsi="仿宋_GB2312" w:eastAsia="仿宋_GB2312" w:cs="仿宋_GB2312"/>
          <w:spacing w:val="13"/>
          <w:sz w:val="32"/>
          <w:szCs w:val="32"/>
          <w:u w:color="FFFFFF" w:themeColor="background1"/>
        </w:rPr>
        <w:t>起草全市民政工作相关规范性文件，组织实施民政</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6"/>
          <w:sz w:val="32"/>
          <w:szCs w:val="32"/>
          <w:u w:color="FFFFFF" w:themeColor="background1"/>
        </w:rPr>
        <w:t>行</w:t>
      </w:r>
      <w:r>
        <w:rPr>
          <w:rFonts w:hint="eastAsia" w:ascii="仿宋_GB2312" w:hAnsi="仿宋_GB2312" w:eastAsia="仿宋_GB2312" w:cs="仿宋_GB2312"/>
          <w:spacing w:val="5"/>
          <w:sz w:val="32"/>
          <w:szCs w:val="32"/>
          <w:u w:color="FFFFFF" w:themeColor="background1"/>
        </w:rPr>
        <w:t>业标准。</w:t>
      </w:r>
    </w:p>
    <w:p>
      <w:pPr>
        <w:pageBreakBefore w:val="0"/>
        <w:kinsoku/>
        <w:wordWrap/>
        <w:overflowPunct/>
        <w:topLinePunct w:val="0"/>
        <w:bidi w:val="0"/>
        <w:spacing w:before="2" w:line="570" w:lineRule="exact"/>
        <w:ind w:left="30" w:right="156" w:firstLine="668"/>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14"/>
          <w:sz w:val="32"/>
          <w:szCs w:val="32"/>
          <w:u w:color="FFFFFF" w:themeColor="background1"/>
        </w:rPr>
        <w:t>2、拟订全市社会团体、基金会、社会服务机构等社</w:t>
      </w:r>
      <w:r>
        <w:rPr>
          <w:rFonts w:hint="eastAsia" w:ascii="仿宋_GB2312" w:hAnsi="仿宋_GB2312" w:eastAsia="仿宋_GB2312" w:cs="仿宋_GB2312"/>
          <w:spacing w:val="11"/>
          <w:sz w:val="32"/>
          <w:szCs w:val="32"/>
          <w:u w:color="FFFFFF" w:themeColor="background1"/>
        </w:rPr>
        <w:t>会</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16"/>
          <w:sz w:val="32"/>
          <w:szCs w:val="32"/>
          <w:u w:color="FFFFFF" w:themeColor="background1"/>
        </w:rPr>
        <w:t>组织</w:t>
      </w:r>
      <w:r>
        <w:rPr>
          <w:rFonts w:hint="eastAsia" w:ascii="仿宋_GB2312" w:hAnsi="仿宋_GB2312" w:eastAsia="仿宋_GB2312" w:cs="仿宋_GB2312"/>
          <w:spacing w:val="11"/>
          <w:sz w:val="32"/>
          <w:szCs w:val="32"/>
          <w:u w:color="FFFFFF" w:themeColor="background1"/>
        </w:rPr>
        <w:t>发</w:t>
      </w:r>
      <w:r>
        <w:rPr>
          <w:rFonts w:hint="eastAsia" w:ascii="仿宋_GB2312" w:hAnsi="仿宋_GB2312" w:eastAsia="仿宋_GB2312" w:cs="仿宋_GB2312"/>
          <w:spacing w:val="8"/>
          <w:sz w:val="32"/>
          <w:szCs w:val="32"/>
          <w:u w:color="FFFFFF" w:themeColor="background1"/>
        </w:rPr>
        <w:t>展规划和管理办法，依法对社会组织进行登记管理和</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6"/>
          <w:sz w:val="32"/>
          <w:szCs w:val="32"/>
          <w:u w:color="FFFFFF" w:themeColor="background1"/>
        </w:rPr>
        <w:t>执</w:t>
      </w:r>
      <w:r>
        <w:rPr>
          <w:rFonts w:hint="eastAsia" w:ascii="仿宋_GB2312" w:hAnsi="仿宋_GB2312" w:eastAsia="仿宋_GB2312" w:cs="仿宋_GB2312"/>
          <w:spacing w:val="4"/>
          <w:sz w:val="32"/>
          <w:szCs w:val="32"/>
          <w:u w:color="FFFFFF" w:themeColor="background1"/>
        </w:rPr>
        <w:t>法监督。</w:t>
      </w:r>
    </w:p>
    <w:p>
      <w:pPr>
        <w:pageBreakBefore w:val="0"/>
        <w:kinsoku/>
        <w:wordWrap/>
        <w:overflowPunct/>
        <w:topLinePunct w:val="0"/>
        <w:bidi w:val="0"/>
        <w:spacing w:before="3" w:line="570" w:lineRule="exact"/>
        <w:ind w:left="23" w:right="153" w:firstLine="687"/>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22"/>
          <w:sz w:val="32"/>
          <w:szCs w:val="32"/>
          <w:u w:color="FFFFFF" w:themeColor="background1"/>
        </w:rPr>
        <w:t>3</w:t>
      </w:r>
      <w:r>
        <w:rPr>
          <w:rFonts w:hint="eastAsia" w:ascii="仿宋_GB2312" w:hAnsi="仿宋_GB2312" w:eastAsia="仿宋_GB2312" w:cs="仿宋_GB2312"/>
          <w:spacing w:val="13"/>
          <w:sz w:val="32"/>
          <w:szCs w:val="32"/>
          <w:u w:color="FFFFFF" w:themeColor="background1"/>
        </w:rPr>
        <w:t>、拟订全市社会救助政策和标准，统筹社会救助体系</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11"/>
          <w:sz w:val="32"/>
          <w:szCs w:val="32"/>
          <w:u w:color="FFFFFF" w:themeColor="background1"/>
        </w:rPr>
        <w:t>建</w:t>
      </w:r>
      <w:r>
        <w:rPr>
          <w:rFonts w:hint="eastAsia" w:ascii="仿宋_GB2312" w:hAnsi="仿宋_GB2312" w:eastAsia="仿宋_GB2312" w:cs="仿宋_GB2312"/>
          <w:spacing w:val="9"/>
          <w:sz w:val="32"/>
          <w:szCs w:val="32"/>
          <w:u w:color="FFFFFF" w:themeColor="background1"/>
        </w:rPr>
        <w:t>设，负责城乡最低生活保障、特困人员救助供养、临时救</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16"/>
          <w:sz w:val="32"/>
          <w:szCs w:val="32"/>
          <w:u w:color="FFFFFF" w:themeColor="background1"/>
        </w:rPr>
        <w:t>助</w:t>
      </w:r>
      <w:r>
        <w:rPr>
          <w:rFonts w:hint="eastAsia" w:ascii="仿宋_GB2312" w:hAnsi="仿宋_GB2312" w:eastAsia="仿宋_GB2312" w:cs="仿宋_GB2312"/>
          <w:spacing w:val="12"/>
          <w:sz w:val="32"/>
          <w:szCs w:val="32"/>
          <w:u w:color="FFFFFF" w:themeColor="background1"/>
        </w:rPr>
        <w:t>、</w:t>
      </w:r>
      <w:r>
        <w:rPr>
          <w:rFonts w:hint="eastAsia" w:ascii="仿宋_GB2312" w:hAnsi="仿宋_GB2312" w:eastAsia="仿宋_GB2312" w:cs="仿宋_GB2312"/>
          <w:spacing w:val="8"/>
          <w:sz w:val="32"/>
          <w:szCs w:val="32"/>
          <w:u w:color="FFFFFF" w:themeColor="background1"/>
        </w:rPr>
        <w:t>生活无着流浪乞讨人员救助工作。</w:t>
      </w:r>
    </w:p>
    <w:p>
      <w:pPr>
        <w:keepNext w:val="0"/>
        <w:keepLines w:val="0"/>
        <w:pageBreakBefore w:val="0"/>
        <w:widowControl w:val="0"/>
        <w:kinsoku/>
        <w:wordWrap/>
        <w:overflowPunct/>
        <w:topLinePunct w:val="0"/>
        <w:autoSpaceDE/>
        <w:autoSpaceDN/>
        <w:bidi w:val="0"/>
        <w:adjustRightInd/>
        <w:snapToGrid/>
        <w:spacing w:before="1" w:line="570" w:lineRule="exact"/>
        <w:ind w:left="697"/>
        <w:textAlignment w:val="auto"/>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14"/>
          <w:sz w:val="32"/>
          <w:szCs w:val="32"/>
          <w:u w:color="FFFFFF" w:themeColor="background1"/>
        </w:rPr>
        <w:t>4、拟订全市城乡基层群众自治建设和城乡社区治理</w:t>
      </w:r>
      <w:r>
        <w:rPr>
          <w:rFonts w:hint="eastAsia" w:ascii="仿宋_GB2312" w:hAnsi="仿宋_GB2312" w:eastAsia="仿宋_GB2312" w:cs="仿宋_GB2312"/>
          <w:spacing w:val="13"/>
          <w:sz w:val="32"/>
          <w:szCs w:val="32"/>
          <w:u w:color="FFFFFF" w:themeColor="background1"/>
        </w:rPr>
        <w:t>政</w:t>
      </w:r>
    </w:p>
    <w:p>
      <w:pPr>
        <w:keepNext w:val="0"/>
        <w:keepLines w:val="0"/>
        <w:pageBreakBefore w:val="0"/>
        <w:widowControl w:val="0"/>
        <w:kinsoku/>
        <w:wordWrap/>
        <w:overflowPunct/>
        <w:topLinePunct w:val="0"/>
        <w:autoSpaceDE/>
        <w:autoSpaceDN/>
        <w:bidi w:val="0"/>
        <w:adjustRightInd/>
        <w:snapToGrid/>
        <w:spacing w:before="151" w:line="570" w:lineRule="exact"/>
        <w:ind w:left="26" w:right="153" w:firstLine="7"/>
        <w:textAlignment w:val="auto"/>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16"/>
          <w:sz w:val="32"/>
          <w:szCs w:val="32"/>
          <w:u w:color="FFFFFF" w:themeColor="background1"/>
        </w:rPr>
        <w:t>策，</w:t>
      </w:r>
      <w:r>
        <w:rPr>
          <w:rFonts w:hint="eastAsia" w:ascii="仿宋_GB2312" w:hAnsi="仿宋_GB2312" w:eastAsia="仿宋_GB2312" w:cs="仿宋_GB2312"/>
          <w:spacing w:val="10"/>
          <w:sz w:val="32"/>
          <w:szCs w:val="32"/>
          <w:u w:color="FFFFFF" w:themeColor="background1"/>
        </w:rPr>
        <w:t>指</w:t>
      </w:r>
      <w:r>
        <w:rPr>
          <w:rFonts w:hint="eastAsia" w:ascii="仿宋_GB2312" w:hAnsi="仿宋_GB2312" w:eastAsia="仿宋_GB2312" w:cs="仿宋_GB2312"/>
          <w:spacing w:val="8"/>
          <w:sz w:val="32"/>
          <w:szCs w:val="32"/>
          <w:u w:color="FFFFFF" w:themeColor="background1"/>
        </w:rPr>
        <w:t>导城乡社区治理体系和治理能力建设，提出加强和改</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9"/>
          <w:sz w:val="32"/>
          <w:szCs w:val="32"/>
          <w:u w:color="FFFFFF" w:themeColor="background1"/>
        </w:rPr>
        <w:t>进城乡基层政权建设的建议，推动基层民主政治建设</w:t>
      </w:r>
      <w:r>
        <w:rPr>
          <w:rFonts w:hint="eastAsia" w:ascii="仿宋_GB2312" w:hAnsi="仿宋_GB2312" w:eastAsia="仿宋_GB2312" w:cs="仿宋_GB2312"/>
          <w:spacing w:val="8"/>
          <w:sz w:val="32"/>
          <w:szCs w:val="32"/>
          <w:u w:color="FFFFFF" w:themeColor="background1"/>
        </w:rPr>
        <w:t>。</w:t>
      </w:r>
    </w:p>
    <w:p>
      <w:pPr>
        <w:pageBreakBefore w:val="0"/>
        <w:kinsoku/>
        <w:wordWrap/>
        <w:overflowPunct/>
        <w:topLinePunct w:val="0"/>
        <w:bidi w:val="0"/>
        <w:spacing w:before="2" w:line="570" w:lineRule="exact"/>
        <w:ind w:left="26" w:right="72" w:firstLine="676"/>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7"/>
          <w:sz w:val="32"/>
          <w:szCs w:val="32"/>
          <w:u w:color="FFFFFF" w:themeColor="background1"/>
        </w:rPr>
        <w:t>5</w:t>
      </w:r>
      <w:r>
        <w:rPr>
          <w:rFonts w:hint="eastAsia" w:ascii="仿宋_GB2312" w:hAnsi="仿宋_GB2312" w:eastAsia="仿宋_GB2312" w:cs="仿宋_GB2312"/>
          <w:spacing w:val="4"/>
          <w:sz w:val="32"/>
          <w:szCs w:val="32"/>
          <w:u w:color="FFFFFF" w:themeColor="background1"/>
        </w:rPr>
        <w:t>、拟订行政区划、行政区域界线管理和地名管理政策，</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9"/>
          <w:sz w:val="32"/>
          <w:szCs w:val="32"/>
          <w:u w:color="FFFFFF" w:themeColor="background1"/>
        </w:rPr>
        <w:t>承担全市行政区划变更的审核和申报工作，组织指导行政</w:t>
      </w:r>
      <w:r>
        <w:rPr>
          <w:rFonts w:hint="eastAsia" w:ascii="仿宋_GB2312" w:hAnsi="仿宋_GB2312" w:eastAsia="仿宋_GB2312" w:cs="仿宋_GB2312"/>
          <w:spacing w:val="6"/>
          <w:sz w:val="32"/>
          <w:szCs w:val="32"/>
          <w:u w:color="FFFFFF" w:themeColor="background1"/>
        </w:rPr>
        <w:t>区</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11"/>
          <w:sz w:val="32"/>
          <w:szCs w:val="32"/>
          <w:u w:color="FFFFFF" w:themeColor="background1"/>
        </w:rPr>
        <w:t>域</w:t>
      </w:r>
      <w:r>
        <w:rPr>
          <w:rFonts w:hint="eastAsia" w:ascii="仿宋_GB2312" w:hAnsi="仿宋_GB2312" w:eastAsia="仿宋_GB2312" w:cs="仿宋_GB2312"/>
          <w:spacing w:val="9"/>
          <w:sz w:val="32"/>
          <w:szCs w:val="32"/>
          <w:u w:color="FFFFFF" w:themeColor="background1"/>
        </w:rPr>
        <w:t>界线的勘定和管理工作，按规定权限负责地名管理工作。</w:t>
      </w:r>
    </w:p>
    <w:p>
      <w:pPr>
        <w:pageBreakBefore w:val="0"/>
        <w:kinsoku/>
        <w:wordWrap/>
        <w:overflowPunct/>
        <w:topLinePunct w:val="0"/>
        <w:bidi w:val="0"/>
        <w:spacing w:before="1" w:line="570" w:lineRule="exact"/>
        <w:ind w:left="701"/>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9"/>
          <w:sz w:val="32"/>
          <w:szCs w:val="32"/>
          <w:u w:color="FFFFFF" w:themeColor="background1"/>
        </w:rPr>
        <w:t>6</w:t>
      </w:r>
      <w:r>
        <w:rPr>
          <w:rFonts w:hint="eastAsia" w:ascii="仿宋_GB2312" w:hAnsi="仿宋_GB2312" w:eastAsia="仿宋_GB2312" w:cs="仿宋_GB2312"/>
          <w:spacing w:val="8"/>
          <w:sz w:val="32"/>
          <w:szCs w:val="32"/>
          <w:u w:color="FFFFFF" w:themeColor="background1"/>
        </w:rPr>
        <w:t>、拟订婚姻管理政策并组织实施，推进婚俗改革。</w:t>
      </w:r>
    </w:p>
    <w:p>
      <w:pPr>
        <w:pageBreakBefore w:val="0"/>
        <w:kinsoku/>
        <w:wordWrap/>
        <w:overflowPunct/>
        <w:topLinePunct w:val="0"/>
        <w:bidi w:val="0"/>
        <w:spacing w:line="570" w:lineRule="exact"/>
        <w:rPr>
          <w:rFonts w:hint="eastAsia" w:ascii="仿宋_GB2312" w:hAnsi="仿宋_GB2312" w:eastAsia="仿宋_GB2312" w:cs="仿宋_GB2312"/>
          <w:sz w:val="32"/>
          <w:szCs w:val="32"/>
          <w:u w:color="FFFFFF" w:themeColor="background1"/>
        </w:rPr>
        <w:sectPr>
          <w:pgSz w:w="11906" w:h="16839"/>
          <w:pgMar w:top="1431" w:right="1531" w:bottom="0" w:left="1531" w:header="0" w:footer="0" w:gutter="0"/>
          <w:cols w:space="720" w:num="1"/>
        </w:sectPr>
      </w:pPr>
    </w:p>
    <w:p>
      <w:pPr>
        <w:pageBreakBefore w:val="0"/>
        <w:kinsoku/>
        <w:wordWrap/>
        <w:overflowPunct/>
        <w:topLinePunct w:val="0"/>
        <w:bidi w:val="0"/>
        <w:spacing w:before="185" w:line="570" w:lineRule="exact"/>
        <w:ind w:left="36" w:right="97" w:firstLine="665"/>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14"/>
          <w:sz w:val="32"/>
          <w:szCs w:val="32"/>
          <w:u w:color="FFFFFF" w:themeColor="background1"/>
        </w:rPr>
        <w:t>7、拟订殡葬管理政策、服务规范并组织实施，推进</w:t>
      </w:r>
      <w:r>
        <w:rPr>
          <w:rFonts w:hint="eastAsia" w:ascii="仿宋_GB2312" w:hAnsi="仿宋_GB2312" w:eastAsia="仿宋_GB2312" w:cs="仿宋_GB2312"/>
          <w:spacing w:val="9"/>
          <w:sz w:val="32"/>
          <w:szCs w:val="32"/>
          <w:u w:color="FFFFFF" w:themeColor="background1"/>
        </w:rPr>
        <w:t>殡</w:t>
      </w:r>
      <w:r>
        <w:rPr>
          <w:rFonts w:hint="eastAsia" w:ascii="仿宋_GB2312" w:hAnsi="仿宋_GB2312" w:eastAsia="仿宋_GB2312" w:cs="仿宋_GB2312"/>
          <w:spacing w:val="2"/>
          <w:sz w:val="32"/>
          <w:szCs w:val="32"/>
          <w:u w:color="FFFFFF" w:themeColor="background1"/>
        </w:rPr>
        <w:t>葬改革</w:t>
      </w:r>
      <w:r>
        <w:rPr>
          <w:rFonts w:hint="eastAsia" w:ascii="仿宋_GB2312" w:hAnsi="仿宋_GB2312" w:eastAsia="仿宋_GB2312" w:cs="仿宋_GB2312"/>
          <w:spacing w:val="1"/>
          <w:sz w:val="32"/>
          <w:szCs w:val="32"/>
          <w:u w:color="FFFFFF" w:themeColor="background1"/>
        </w:rPr>
        <w:t>。</w:t>
      </w:r>
    </w:p>
    <w:p>
      <w:pPr>
        <w:pageBreakBefore w:val="0"/>
        <w:kinsoku/>
        <w:wordWrap/>
        <w:overflowPunct/>
        <w:topLinePunct w:val="0"/>
        <w:bidi w:val="0"/>
        <w:spacing w:before="2" w:line="570" w:lineRule="exact"/>
        <w:ind w:left="26" w:right="11" w:firstLine="674"/>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8"/>
          <w:sz w:val="32"/>
          <w:szCs w:val="32"/>
          <w:u w:color="FFFFFF" w:themeColor="background1"/>
        </w:rPr>
        <w:t>8</w:t>
      </w:r>
      <w:r>
        <w:rPr>
          <w:rFonts w:hint="eastAsia" w:ascii="仿宋_GB2312" w:hAnsi="仿宋_GB2312" w:eastAsia="仿宋_GB2312" w:cs="仿宋_GB2312"/>
          <w:spacing w:val="7"/>
          <w:sz w:val="32"/>
          <w:szCs w:val="32"/>
          <w:u w:color="FFFFFF" w:themeColor="background1"/>
        </w:rPr>
        <w:t>、</w:t>
      </w:r>
      <w:r>
        <w:rPr>
          <w:rFonts w:hint="eastAsia" w:ascii="仿宋_GB2312" w:hAnsi="仿宋_GB2312" w:eastAsia="仿宋_GB2312" w:cs="仿宋_GB2312"/>
          <w:spacing w:val="4"/>
          <w:sz w:val="32"/>
          <w:szCs w:val="32"/>
          <w:u w:color="FFFFFF" w:themeColor="background1"/>
        </w:rPr>
        <w:t>统筹推进、督促指导、监督管理全市养老服务工作，</w:t>
      </w:r>
      <w:r>
        <w:rPr>
          <w:rFonts w:hint="eastAsia" w:ascii="仿宋_GB2312" w:hAnsi="仿宋_GB2312" w:eastAsia="仿宋_GB2312" w:cs="仿宋_GB2312"/>
          <w:spacing w:val="9"/>
          <w:sz w:val="32"/>
          <w:szCs w:val="32"/>
          <w:u w:color="FFFFFF" w:themeColor="background1"/>
        </w:rPr>
        <w:t>拟订养老服务体系建设规划、政策、标准并组织实施，承</w:t>
      </w:r>
      <w:r>
        <w:rPr>
          <w:rFonts w:hint="eastAsia" w:ascii="仿宋_GB2312" w:hAnsi="仿宋_GB2312" w:eastAsia="仿宋_GB2312" w:cs="仿宋_GB2312"/>
          <w:spacing w:val="6"/>
          <w:sz w:val="32"/>
          <w:szCs w:val="32"/>
          <w:u w:color="FFFFFF" w:themeColor="background1"/>
        </w:rPr>
        <w:t>担</w:t>
      </w:r>
      <w:r>
        <w:rPr>
          <w:rFonts w:hint="eastAsia" w:ascii="仿宋_GB2312" w:hAnsi="仿宋_GB2312" w:eastAsia="仿宋_GB2312" w:cs="仿宋_GB2312"/>
          <w:spacing w:val="16"/>
          <w:sz w:val="32"/>
          <w:szCs w:val="32"/>
          <w:u w:color="FFFFFF" w:themeColor="background1"/>
        </w:rPr>
        <w:t>老</w:t>
      </w:r>
      <w:r>
        <w:rPr>
          <w:rFonts w:hint="eastAsia" w:ascii="仿宋_GB2312" w:hAnsi="仿宋_GB2312" w:eastAsia="仿宋_GB2312" w:cs="仿宋_GB2312"/>
          <w:spacing w:val="11"/>
          <w:sz w:val="32"/>
          <w:szCs w:val="32"/>
          <w:u w:color="FFFFFF" w:themeColor="background1"/>
        </w:rPr>
        <w:t>年</w:t>
      </w:r>
      <w:r>
        <w:rPr>
          <w:rFonts w:hint="eastAsia" w:ascii="仿宋_GB2312" w:hAnsi="仿宋_GB2312" w:eastAsia="仿宋_GB2312" w:cs="仿宋_GB2312"/>
          <w:spacing w:val="8"/>
          <w:sz w:val="32"/>
          <w:szCs w:val="32"/>
          <w:u w:color="FFFFFF" w:themeColor="background1"/>
        </w:rPr>
        <w:t>人福利和特殊困难老年人救助工作。</w:t>
      </w:r>
    </w:p>
    <w:p>
      <w:pPr>
        <w:pageBreakBefore w:val="0"/>
        <w:kinsoku/>
        <w:wordWrap/>
        <w:overflowPunct/>
        <w:topLinePunct w:val="0"/>
        <w:bidi w:val="0"/>
        <w:spacing w:before="2" w:line="570" w:lineRule="exact"/>
        <w:ind w:left="22" w:right="97" w:firstLine="678"/>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14"/>
          <w:sz w:val="32"/>
          <w:szCs w:val="32"/>
          <w:u w:color="FFFFFF" w:themeColor="background1"/>
        </w:rPr>
        <w:t>9、拟订全市残疾人权益保护政策，统筹推进残疾人</w:t>
      </w:r>
      <w:r>
        <w:rPr>
          <w:rFonts w:hint="eastAsia" w:ascii="仿宋_GB2312" w:hAnsi="仿宋_GB2312" w:eastAsia="仿宋_GB2312" w:cs="仿宋_GB2312"/>
          <w:spacing w:val="9"/>
          <w:sz w:val="32"/>
          <w:szCs w:val="32"/>
          <w:u w:color="FFFFFF" w:themeColor="background1"/>
        </w:rPr>
        <w:t>福利制度建设和康复辅助器具产业发展</w:t>
      </w:r>
      <w:r>
        <w:rPr>
          <w:rFonts w:hint="eastAsia" w:ascii="仿宋_GB2312" w:hAnsi="仿宋_GB2312" w:eastAsia="仿宋_GB2312" w:cs="仿宋_GB2312"/>
          <w:spacing w:val="6"/>
          <w:sz w:val="32"/>
          <w:szCs w:val="32"/>
          <w:u w:color="FFFFFF" w:themeColor="background1"/>
        </w:rPr>
        <w:t>。</w:t>
      </w:r>
    </w:p>
    <w:p>
      <w:pPr>
        <w:pageBreakBefore w:val="0"/>
        <w:kinsoku/>
        <w:wordWrap/>
        <w:overflowPunct/>
        <w:topLinePunct w:val="0"/>
        <w:bidi w:val="0"/>
        <w:spacing w:before="2" w:line="570" w:lineRule="exact"/>
        <w:ind w:left="41" w:right="95" w:firstLine="665"/>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7"/>
          <w:sz w:val="32"/>
          <w:szCs w:val="32"/>
          <w:u w:color="FFFFFF" w:themeColor="background1"/>
        </w:rPr>
        <w:t>10、拟订儿童福利、孤弃儿童保障、儿童收养、儿童</w:t>
      </w:r>
      <w:r>
        <w:rPr>
          <w:rFonts w:hint="eastAsia" w:ascii="仿宋_GB2312" w:hAnsi="仿宋_GB2312" w:eastAsia="仿宋_GB2312" w:cs="仿宋_GB2312"/>
          <w:spacing w:val="5"/>
          <w:sz w:val="32"/>
          <w:szCs w:val="32"/>
          <w:u w:color="FFFFFF" w:themeColor="background1"/>
        </w:rPr>
        <w:t>救</w:t>
      </w:r>
      <w:r>
        <w:rPr>
          <w:rFonts w:hint="eastAsia" w:ascii="仿宋_GB2312" w:hAnsi="仿宋_GB2312" w:eastAsia="仿宋_GB2312" w:cs="仿宋_GB2312"/>
          <w:spacing w:val="16"/>
          <w:sz w:val="32"/>
          <w:szCs w:val="32"/>
          <w:u w:color="FFFFFF" w:themeColor="background1"/>
        </w:rPr>
        <w:t>助</w:t>
      </w:r>
      <w:r>
        <w:rPr>
          <w:rFonts w:hint="eastAsia" w:ascii="仿宋_GB2312" w:hAnsi="仿宋_GB2312" w:eastAsia="仿宋_GB2312" w:cs="仿宋_GB2312"/>
          <w:spacing w:val="8"/>
          <w:sz w:val="32"/>
          <w:szCs w:val="32"/>
          <w:u w:color="FFFFFF" w:themeColor="background1"/>
        </w:rPr>
        <w:t>保护政策、标准，健全农村牧区留守儿童关爱服务体系和</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10"/>
          <w:sz w:val="32"/>
          <w:szCs w:val="32"/>
          <w:u w:color="FFFFFF" w:themeColor="background1"/>
        </w:rPr>
        <w:t>困</w:t>
      </w:r>
      <w:r>
        <w:rPr>
          <w:rFonts w:hint="eastAsia" w:ascii="仿宋_GB2312" w:hAnsi="仿宋_GB2312" w:eastAsia="仿宋_GB2312" w:cs="仿宋_GB2312"/>
          <w:spacing w:val="5"/>
          <w:sz w:val="32"/>
          <w:szCs w:val="32"/>
          <w:u w:color="FFFFFF" w:themeColor="background1"/>
        </w:rPr>
        <w:t>境儿童保障制度。</w:t>
      </w:r>
    </w:p>
    <w:p>
      <w:pPr>
        <w:pageBreakBefore w:val="0"/>
        <w:kinsoku/>
        <w:wordWrap/>
        <w:overflowPunct/>
        <w:topLinePunct w:val="0"/>
        <w:bidi w:val="0"/>
        <w:spacing w:before="1" w:line="570" w:lineRule="exact"/>
        <w:ind w:firstLine="668" w:firstLineChars="200"/>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7"/>
          <w:sz w:val="32"/>
          <w:szCs w:val="32"/>
          <w:u w:color="FFFFFF" w:themeColor="background1"/>
        </w:rPr>
        <w:t>11、组织拟订促进慈善事业发展政策，指导社会捐助</w:t>
      </w:r>
      <w:r>
        <w:rPr>
          <w:rFonts w:hint="eastAsia" w:ascii="仿宋_GB2312" w:hAnsi="仿宋_GB2312" w:eastAsia="仿宋_GB2312" w:cs="仿宋_GB2312"/>
          <w:spacing w:val="3"/>
          <w:sz w:val="32"/>
          <w:szCs w:val="32"/>
          <w:u w:color="FFFFFF" w:themeColor="background1"/>
        </w:rPr>
        <w:t>工</w:t>
      </w:r>
      <w:r>
        <w:rPr>
          <w:rFonts w:hint="eastAsia" w:ascii="仿宋_GB2312" w:hAnsi="仿宋_GB2312" w:eastAsia="仿宋_GB2312" w:cs="仿宋_GB2312"/>
          <w:spacing w:val="8"/>
          <w:sz w:val="32"/>
          <w:szCs w:val="32"/>
          <w:u w:color="FFFFFF" w:themeColor="background1"/>
        </w:rPr>
        <w:t>作，负责福利彩票管理工作</w:t>
      </w:r>
      <w:r>
        <w:rPr>
          <w:rFonts w:hint="eastAsia" w:ascii="仿宋_GB2312" w:hAnsi="仿宋_GB2312" w:eastAsia="仿宋_GB2312" w:cs="仿宋_GB2312"/>
          <w:spacing w:val="7"/>
          <w:sz w:val="32"/>
          <w:szCs w:val="32"/>
          <w:u w:color="FFFFFF" w:themeColor="background1"/>
        </w:rPr>
        <w:t>。</w:t>
      </w:r>
    </w:p>
    <w:p>
      <w:pPr>
        <w:pageBreakBefore w:val="0"/>
        <w:kinsoku/>
        <w:wordWrap/>
        <w:overflowPunct/>
        <w:topLinePunct w:val="0"/>
        <w:bidi w:val="0"/>
        <w:spacing w:before="194" w:line="570" w:lineRule="exact"/>
        <w:ind w:left="31" w:right="95" w:firstLine="674"/>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7"/>
          <w:sz w:val="32"/>
          <w:szCs w:val="32"/>
          <w:u w:color="FFFFFF" w:themeColor="background1"/>
        </w:rPr>
        <w:t>12、拟订社会工作、志愿服务政策和标准，会同有关</w:t>
      </w:r>
      <w:r>
        <w:rPr>
          <w:rFonts w:hint="eastAsia" w:ascii="仿宋_GB2312" w:hAnsi="仿宋_GB2312" w:eastAsia="仿宋_GB2312" w:cs="仿宋_GB2312"/>
          <w:spacing w:val="5"/>
          <w:sz w:val="32"/>
          <w:szCs w:val="32"/>
          <w:u w:color="FFFFFF" w:themeColor="background1"/>
        </w:rPr>
        <w:t>部</w:t>
      </w:r>
      <w:r>
        <w:rPr>
          <w:rFonts w:hint="eastAsia" w:ascii="仿宋_GB2312" w:hAnsi="仿宋_GB2312" w:eastAsia="仿宋_GB2312" w:cs="仿宋_GB2312"/>
          <w:spacing w:val="16"/>
          <w:sz w:val="32"/>
          <w:szCs w:val="32"/>
          <w:u w:color="FFFFFF" w:themeColor="background1"/>
        </w:rPr>
        <w:t>门推</w:t>
      </w:r>
      <w:r>
        <w:rPr>
          <w:rFonts w:hint="eastAsia" w:ascii="仿宋_GB2312" w:hAnsi="仿宋_GB2312" w:eastAsia="仿宋_GB2312" w:cs="仿宋_GB2312"/>
          <w:spacing w:val="10"/>
          <w:sz w:val="32"/>
          <w:szCs w:val="32"/>
          <w:u w:color="FFFFFF" w:themeColor="background1"/>
        </w:rPr>
        <w:t>进</w:t>
      </w:r>
      <w:r>
        <w:rPr>
          <w:rFonts w:hint="eastAsia" w:ascii="仿宋_GB2312" w:hAnsi="仿宋_GB2312" w:eastAsia="仿宋_GB2312" w:cs="仿宋_GB2312"/>
          <w:spacing w:val="8"/>
          <w:sz w:val="32"/>
          <w:szCs w:val="32"/>
          <w:u w:color="FFFFFF" w:themeColor="background1"/>
        </w:rPr>
        <w:t>社会工作人才队伍建设和志愿者队伍建设。负责全市</w:t>
      </w:r>
      <w:r>
        <w:rPr>
          <w:rFonts w:hint="eastAsia" w:ascii="仿宋_GB2312" w:hAnsi="仿宋_GB2312" w:eastAsia="仿宋_GB2312" w:cs="仿宋_GB2312"/>
          <w:spacing w:val="16"/>
          <w:sz w:val="32"/>
          <w:szCs w:val="32"/>
          <w:u w:color="FFFFFF" w:themeColor="background1"/>
        </w:rPr>
        <w:t>社会</w:t>
      </w:r>
      <w:r>
        <w:rPr>
          <w:rFonts w:hint="eastAsia" w:ascii="仿宋_GB2312" w:hAnsi="仿宋_GB2312" w:eastAsia="仿宋_GB2312" w:cs="仿宋_GB2312"/>
          <w:spacing w:val="12"/>
          <w:sz w:val="32"/>
          <w:szCs w:val="32"/>
          <w:u w:color="FFFFFF" w:themeColor="background1"/>
        </w:rPr>
        <w:t>工</w:t>
      </w:r>
      <w:r>
        <w:rPr>
          <w:rFonts w:hint="eastAsia" w:ascii="仿宋_GB2312" w:hAnsi="仿宋_GB2312" w:eastAsia="仿宋_GB2312" w:cs="仿宋_GB2312"/>
          <w:spacing w:val="8"/>
          <w:sz w:val="32"/>
          <w:szCs w:val="32"/>
          <w:u w:color="FFFFFF" w:themeColor="background1"/>
        </w:rPr>
        <w:t>作人才队伍的综合管理，牵头研究制定和组织实施社</w:t>
      </w:r>
      <w:r>
        <w:rPr>
          <w:rFonts w:hint="eastAsia" w:ascii="仿宋_GB2312" w:hAnsi="仿宋_GB2312" w:eastAsia="仿宋_GB2312" w:cs="仿宋_GB2312"/>
          <w:spacing w:val="16"/>
          <w:sz w:val="32"/>
          <w:szCs w:val="32"/>
          <w:u w:color="FFFFFF" w:themeColor="background1"/>
        </w:rPr>
        <w:t>会工</w:t>
      </w:r>
      <w:r>
        <w:rPr>
          <w:rFonts w:hint="eastAsia" w:ascii="仿宋_GB2312" w:hAnsi="仿宋_GB2312" w:eastAsia="仿宋_GB2312" w:cs="仿宋_GB2312"/>
          <w:spacing w:val="8"/>
          <w:sz w:val="32"/>
          <w:szCs w:val="32"/>
          <w:u w:color="FFFFFF" w:themeColor="background1"/>
        </w:rPr>
        <w:t>作人才队伍建设规划，并抓好年度计划实施。</w:t>
      </w:r>
    </w:p>
    <w:p>
      <w:pPr>
        <w:pageBreakBefore w:val="0"/>
        <w:kinsoku/>
        <w:wordWrap/>
        <w:overflowPunct/>
        <w:topLinePunct w:val="0"/>
        <w:bidi w:val="0"/>
        <w:spacing w:before="1" w:line="570" w:lineRule="exact"/>
        <w:ind w:left="706"/>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11"/>
          <w:sz w:val="32"/>
          <w:szCs w:val="32"/>
          <w:u w:color="FFFFFF" w:themeColor="background1"/>
        </w:rPr>
        <w:t>1</w:t>
      </w:r>
      <w:r>
        <w:rPr>
          <w:rFonts w:hint="eastAsia" w:ascii="仿宋_GB2312" w:hAnsi="仿宋_GB2312" w:eastAsia="仿宋_GB2312" w:cs="仿宋_GB2312"/>
          <w:spacing w:val="7"/>
          <w:sz w:val="32"/>
          <w:szCs w:val="32"/>
          <w:u w:color="FFFFFF" w:themeColor="background1"/>
        </w:rPr>
        <w:t>3、完成市委、市政府交办的其他任务。</w:t>
      </w:r>
    </w:p>
    <w:p>
      <w:pPr>
        <w:pageBreakBefore w:val="0"/>
        <w:kinsoku/>
        <w:wordWrap/>
        <w:overflowPunct/>
        <w:topLinePunct w:val="0"/>
        <w:bidi w:val="0"/>
        <w:spacing w:before="149" w:line="570" w:lineRule="exact"/>
        <w:ind w:left="19" w:firstLine="687"/>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pacing w:val="7"/>
          <w:sz w:val="32"/>
          <w:szCs w:val="32"/>
          <w:u w:color="FFFFFF" w:themeColor="background1"/>
        </w:rPr>
        <w:t>14、职能转变。市民政局应聚焦脱贫攻坚、聚焦特殊</w:t>
      </w:r>
      <w:r>
        <w:rPr>
          <w:rFonts w:hint="eastAsia" w:ascii="仿宋_GB2312" w:hAnsi="仿宋_GB2312" w:eastAsia="仿宋_GB2312" w:cs="仿宋_GB2312"/>
          <w:spacing w:val="5"/>
          <w:sz w:val="32"/>
          <w:szCs w:val="32"/>
          <w:u w:color="FFFFFF" w:themeColor="background1"/>
        </w:rPr>
        <w:t>群</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1"/>
          <w:sz w:val="32"/>
          <w:szCs w:val="32"/>
          <w:u w:color="FFFFFF" w:themeColor="background1"/>
        </w:rPr>
        <w:t>体、聚焦群众关切，更好履行基本民生保障、基层社会治理</w:t>
      </w:r>
      <w:r>
        <w:rPr>
          <w:rFonts w:hint="eastAsia" w:ascii="仿宋_GB2312" w:hAnsi="仿宋_GB2312" w:eastAsia="仿宋_GB2312" w:cs="仿宋_GB2312"/>
          <w:sz w:val="32"/>
          <w:szCs w:val="32"/>
          <w:u w:color="FFFFFF" w:themeColor="background1"/>
        </w:rPr>
        <w:t xml:space="preserve">、 </w:t>
      </w:r>
      <w:r>
        <w:rPr>
          <w:rFonts w:hint="eastAsia" w:ascii="仿宋_GB2312" w:hAnsi="仿宋_GB2312" w:eastAsia="仿宋_GB2312" w:cs="仿宋_GB2312"/>
          <w:spacing w:val="18"/>
          <w:sz w:val="32"/>
          <w:szCs w:val="32"/>
          <w:u w:color="FFFFFF" w:themeColor="background1"/>
        </w:rPr>
        <w:t>基</w:t>
      </w:r>
      <w:r>
        <w:rPr>
          <w:rFonts w:hint="eastAsia" w:ascii="仿宋_GB2312" w:hAnsi="仿宋_GB2312" w:eastAsia="仿宋_GB2312" w:cs="仿宋_GB2312"/>
          <w:spacing w:val="15"/>
          <w:sz w:val="32"/>
          <w:szCs w:val="32"/>
          <w:u w:color="FFFFFF" w:themeColor="background1"/>
        </w:rPr>
        <w:t>本社会服务等职责,为困难群众、孤老孤残孤儿等特殊群</w:t>
      </w:r>
      <w:r>
        <w:rPr>
          <w:rFonts w:hint="eastAsia" w:ascii="仿宋_GB2312" w:hAnsi="仿宋_GB2312" w:eastAsia="仿宋_GB2312" w:cs="仿宋_GB2312"/>
          <w:spacing w:val="16"/>
          <w:sz w:val="32"/>
          <w:szCs w:val="32"/>
          <w:u w:color="FFFFFF" w:themeColor="background1"/>
        </w:rPr>
        <w:t>体</w:t>
      </w:r>
      <w:r>
        <w:rPr>
          <w:rFonts w:hint="eastAsia" w:ascii="仿宋_GB2312" w:hAnsi="仿宋_GB2312" w:eastAsia="仿宋_GB2312" w:cs="仿宋_GB2312"/>
          <w:spacing w:val="9"/>
          <w:sz w:val="32"/>
          <w:szCs w:val="32"/>
          <w:u w:color="FFFFFF" w:themeColor="background1"/>
        </w:rPr>
        <w:t>提供基本社会服务，促进资源向薄弱地区、领域和环节倾</w:t>
      </w:r>
      <w:r>
        <w:rPr>
          <w:rFonts w:hint="eastAsia" w:ascii="仿宋_GB2312" w:hAnsi="仿宋_GB2312" w:eastAsia="仿宋_GB2312" w:cs="仿宋_GB2312"/>
          <w:spacing w:val="13"/>
          <w:sz w:val="32"/>
          <w:szCs w:val="32"/>
          <w:u w:color="FFFFFF" w:themeColor="background1"/>
        </w:rPr>
        <w:t>斜</w:t>
      </w:r>
      <w:r>
        <w:rPr>
          <w:rFonts w:hint="eastAsia" w:ascii="仿宋_GB2312" w:hAnsi="仿宋_GB2312" w:eastAsia="仿宋_GB2312" w:cs="仿宋_GB2312"/>
          <w:spacing w:val="9"/>
          <w:sz w:val="32"/>
          <w:szCs w:val="32"/>
          <w:u w:color="FFFFFF" w:themeColor="background1"/>
        </w:rPr>
        <w:t>。积极培育社会组织、社会工作者等多元参与主体，推动搭建基层社会治理和社区公共服务平台。</w:t>
      </w:r>
    </w:p>
    <w:p>
      <w:pPr>
        <w:pStyle w:val="2"/>
        <w:rPr>
          <w:rFonts w:hint="eastAsia"/>
          <w:u w:color="FFFFFF" w:themeColor="background1"/>
        </w:rPr>
      </w:pPr>
    </w:p>
    <w:p>
      <w:pPr>
        <w:pageBreakBefore w:val="0"/>
        <w:kinsoku/>
        <w:wordWrap/>
        <w:overflowPunct/>
        <w:topLinePunct w:val="0"/>
        <w:bidi w:val="0"/>
        <w:spacing w:line="600" w:lineRule="exact"/>
        <w:ind w:firstLine="640" w:firstLineChars="200"/>
        <w:outlineLvl w:val="0"/>
        <w:rPr>
          <w:rFonts w:eastAsia="黑体" w:cs="黑体"/>
          <w:b w:val="0"/>
          <w:bCs w:val="0"/>
          <w:sz w:val="32"/>
          <w:szCs w:val="36"/>
          <w:u w:color="FFFFFF" w:themeColor="background1"/>
        </w:rPr>
      </w:pPr>
      <w:r>
        <w:rPr>
          <w:rFonts w:hint="eastAsia" w:eastAsia="黑体" w:cs="黑体"/>
          <w:b w:val="0"/>
          <w:bCs w:val="0"/>
          <w:sz w:val="32"/>
          <w:szCs w:val="36"/>
          <w:u w:color="FFFFFF" w:themeColor="background1"/>
        </w:rPr>
        <w:t>二、单位机构设置及预算单位构成情况</w:t>
      </w:r>
    </w:p>
    <w:p>
      <w:pPr>
        <w:pageBreakBefore w:val="0"/>
        <w:kinsoku/>
        <w:wordWrap/>
        <w:overflowPunct/>
        <w:topLinePunct w:val="0"/>
        <w:autoSpaceDE/>
        <w:autoSpaceDN/>
        <w:bidi w:val="0"/>
        <w:spacing w:line="570" w:lineRule="exact"/>
        <w:ind w:firstLine="640" w:firstLineChars="200"/>
        <w:textAlignment w:val="auto"/>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z w:val="32"/>
          <w:szCs w:val="32"/>
          <w:u w:color="FFFFFF" w:themeColor="background1"/>
        </w:rPr>
        <w:t>1．根据</w:t>
      </w:r>
      <w:r>
        <w:rPr>
          <w:rFonts w:hint="eastAsia" w:ascii="仿宋_GB2312" w:hAnsi="仿宋_GB2312" w:eastAsia="仿宋_GB2312" w:cs="仿宋_GB2312"/>
          <w:sz w:val="32"/>
          <w:szCs w:val="32"/>
          <w:u w:color="FFFFFF" w:themeColor="background1"/>
          <w:lang w:val="en-US" w:eastAsia="zh-CN"/>
        </w:rPr>
        <w:t>单位</w:t>
      </w:r>
      <w:r>
        <w:rPr>
          <w:rFonts w:hint="eastAsia" w:ascii="仿宋_GB2312" w:hAnsi="仿宋_GB2312" w:eastAsia="仿宋_GB2312" w:cs="仿宋_GB2312"/>
          <w:sz w:val="32"/>
          <w:szCs w:val="32"/>
          <w:u w:color="FFFFFF" w:themeColor="background1"/>
        </w:rPr>
        <w:t>职责分工，本</w:t>
      </w:r>
      <w:r>
        <w:rPr>
          <w:rFonts w:hint="eastAsia" w:ascii="仿宋_GB2312" w:hAnsi="仿宋_GB2312" w:eastAsia="仿宋_GB2312" w:cs="仿宋_GB2312"/>
          <w:sz w:val="32"/>
          <w:szCs w:val="32"/>
          <w:u w:color="FFFFFF" w:themeColor="background1"/>
          <w:lang w:val="en-US" w:eastAsia="zh-CN"/>
        </w:rPr>
        <w:t>单位</w:t>
      </w:r>
      <w:r>
        <w:rPr>
          <w:rFonts w:hint="eastAsia" w:ascii="仿宋_GB2312" w:hAnsi="仿宋_GB2312" w:eastAsia="仿宋_GB2312" w:cs="仿宋_GB2312"/>
          <w:sz w:val="32"/>
          <w:szCs w:val="32"/>
          <w:u w:color="FFFFFF" w:themeColor="background1"/>
        </w:rPr>
        <w:t>内设机构包括办公室(政策法规科)、人事科(精神文明建设办公室、离退休人员工作科)、规划财务科、包头市社会组织管理局（包头市社会组织执法监督局、行政审批科）、社会救助科、基层政权建设和社区治理科（包头市城乡社区建设领导小组办公室）、区划地名科、社会事务科、养老服务科、儿童福利科、慈善事业促进和社会工作科共11个科室，另设社会组织党建办公室、机关党委。本</w:t>
      </w:r>
      <w:r>
        <w:rPr>
          <w:rFonts w:hint="eastAsia" w:ascii="仿宋_GB2312" w:hAnsi="仿宋_GB2312" w:eastAsia="仿宋_GB2312" w:cs="仿宋_GB2312"/>
          <w:sz w:val="32"/>
          <w:szCs w:val="32"/>
          <w:u w:color="FFFFFF" w:themeColor="background1"/>
          <w:lang w:val="en-US" w:eastAsia="zh-CN"/>
        </w:rPr>
        <w:t>单位包头市民政局本级无</w:t>
      </w:r>
      <w:r>
        <w:rPr>
          <w:rFonts w:hint="eastAsia" w:ascii="仿宋_GB2312" w:hAnsi="仿宋_GB2312" w:eastAsia="仿宋_GB2312" w:cs="仿宋_GB2312"/>
          <w:sz w:val="32"/>
          <w:szCs w:val="32"/>
          <w:u w:color="FFFFFF" w:themeColor="background1"/>
        </w:rPr>
        <w:t>下属单位。</w:t>
      </w:r>
    </w:p>
    <w:p>
      <w:pPr>
        <w:pageBreakBefore w:val="0"/>
        <w:kinsoku/>
        <w:wordWrap/>
        <w:overflowPunct/>
        <w:topLinePunct w:val="0"/>
        <w:autoSpaceDE/>
        <w:autoSpaceDN/>
        <w:bidi w:val="0"/>
        <w:spacing w:line="570" w:lineRule="exact"/>
        <w:ind w:firstLine="640" w:firstLineChars="200"/>
        <w:textAlignment w:val="auto"/>
        <w:rPr>
          <w:rFonts w:eastAsia="仿宋_GB2312" w:cstheme="minorBidi"/>
          <w:sz w:val="32"/>
          <w:szCs w:val="32"/>
          <w:u w:color="FFFFFF" w:themeColor="background1"/>
        </w:rPr>
      </w:pPr>
      <w:r>
        <w:rPr>
          <w:rFonts w:hint="eastAsia" w:ascii="仿宋_GB2312" w:hAnsi="仿宋_GB2312" w:eastAsia="仿宋_GB2312" w:cs="仿宋_GB2312"/>
          <w:sz w:val="32"/>
          <w:szCs w:val="32"/>
          <w:u w:color="FFFFFF" w:themeColor="background1"/>
        </w:rPr>
        <w:t>2．从预算单位构成看，纳入本</w:t>
      </w:r>
      <w:r>
        <w:rPr>
          <w:rFonts w:hint="eastAsia" w:ascii="仿宋_GB2312" w:hAnsi="仿宋_GB2312" w:eastAsia="仿宋_GB2312" w:cs="仿宋_GB2312"/>
          <w:sz w:val="32"/>
          <w:szCs w:val="32"/>
          <w:u w:color="FFFFFF" w:themeColor="background1"/>
          <w:lang w:val="en-US" w:eastAsia="zh-CN"/>
        </w:rPr>
        <w:t>单位2023</w:t>
      </w:r>
      <w:r>
        <w:rPr>
          <w:rFonts w:hint="eastAsia" w:ascii="仿宋_GB2312" w:hAnsi="仿宋_GB2312" w:eastAsia="仿宋_GB2312" w:cs="仿宋_GB2312"/>
          <w:sz w:val="32"/>
          <w:szCs w:val="32"/>
          <w:u w:color="FFFFFF" w:themeColor="background1"/>
        </w:rPr>
        <w:t>年汇总预算编制范围的预算单位共计</w:t>
      </w:r>
      <w:r>
        <w:rPr>
          <w:rFonts w:hint="eastAsia" w:ascii="仿宋_GB2312" w:hAnsi="仿宋_GB2312" w:eastAsia="仿宋_GB2312" w:cs="仿宋_GB2312"/>
          <w:sz w:val="32"/>
          <w:szCs w:val="32"/>
          <w:u w:color="FFFFFF" w:themeColor="background1"/>
          <w:lang w:val="en-US" w:eastAsia="zh-CN"/>
        </w:rPr>
        <w:t>1</w:t>
      </w:r>
      <w:r>
        <w:rPr>
          <w:rFonts w:hint="eastAsia" w:ascii="仿宋_GB2312" w:hAnsi="仿宋_GB2312" w:eastAsia="仿宋_GB2312" w:cs="仿宋_GB2312"/>
          <w:sz w:val="32"/>
          <w:szCs w:val="32"/>
          <w:u w:color="FFFFFF" w:themeColor="background1"/>
        </w:rPr>
        <w:t>家，具体包括：</w:t>
      </w:r>
      <w:r>
        <w:rPr>
          <w:rFonts w:hint="eastAsia" w:ascii="仿宋_GB2312" w:hAnsi="仿宋_GB2312" w:eastAsia="仿宋_GB2312" w:cs="仿宋_GB2312"/>
          <w:sz w:val="32"/>
          <w:szCs w:val="32"/>
          <w:u w:color="FFFFFF" w:themeColor="background1"/>
          <w:lang w:val="en-US" w:eastAsia="zh-CN"/>
        </w:rPr>
        <w:t>包头市民政局</w:t>
      </w:r>
      <w:r>
        <w:rPr>
          <w:rFonts w:hint="eastAsia" w:ascii="仿宋_GB2312" w:hAnsi="仿宋_GB2312" w:eastAsia="仿宋_GB2312" w:cs="仿宋_GB2312"/>
          <w:sz w:val="32"/>
          <w:szCs w:val="32"/>
          <w:u w:color="FFFFFF" w:themeColor="background1"/>
        </w:rPr>
        <w:t>。</w:t>
      </w:r>
    </w:p>
    <w:p>
      <w:pPr>
        <w:pageBreakBefore w:val="0"/>
        <w:tabs>
          <w:tab w:val="left" w:pos="3532"/>
        </w:tabs>
        <w:kinsoku/>
        <w:wordWrap/>
        <w:overflowPunct/>
        <w:topLinePunct w:val="0"/>
        <w:autoSpaceDE w:val="0"/>
        <w:autoSpaceDN w:val="0"/>
        <w:bidi w:val="0"/>
        <w:adjustRightInd w:val="0"/>
        <w:spacing w:line="570" w:lineRule="exact"/>
        <w:jc w:val="center"/>
        <w:rPr>
          <w:rFonts w:hint="eastAsia" w:ascii="仿宋_GB2312" w:hAnsi="仿宋_GB2312" w:eastAsia="仿宋_GB2312" w:cs="仿宋_GB2312"/>
          <w:b/>
          <w:bCs/>
          <w:sz w:val="32"/>
          <w:szCs w:val="32"/>
          <w:u w:color="FFFFFF" w:themeColor="background1"/>
        </w:rPr>
      </w:pPr>
      <w:r>
        <w:rPr>
          <w:rFonts w:hint="eastAsia" w:ascii="仿宋_GB2312" w:hAnsi="仿宋_GB2312" w:eastAsia="仿宋_GB2312" w:cs="仿宋_GB2312"/>
          <w:b/>
          <w:bCs/>
          <w:sz w:val="32"/>
          <w:szCs w:val="32"/>
          <w:u w:color="FFFFFF" w:themeColor="background1"/>
        </w:rPr>
        <w:t>单位情况表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4420"/>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76" w:type="dxa"/>
            <w:vAlign w:val="bottom"/>
          </w:tcPr>
          <w:p>
            <w:pPr>
              <w:pStyle w:val="2"/>
              <w:pageBreakBefore w:val="0"/>
              <w:kinsoku/>
              <w:wordWrap/>
              <w:overflowPunct/>
              <w:topLinePunct w:val="0"/>
              <w:autoSpaceDE/>
              <w:autoSpaceDN/>
              <w:bidi w:val="0"/>
              <w:spacing w:line="570" w:lineRule="exact"/>
              <w:ind w:left="0" w:leftChars="0" w:firstLine="0"/>
              <w:jc w:val="center"/>
              <w:textAlignment w:val="auto"/>
              <w:rPr>
                <w:rFonts w:hint="default" w:ascii="仿宋_GB2312" w:eastAsia="仿宋_GB2312"/>
                <w:b/>
                <w:sz w:val="32"/>
                <w:szCs w:val="32"/>
                <w:u w:color="FFFFFF" w:themeColor="background1"/>
              </w:rPr>
            </w:pPr>
            <w:r>
              <w:rPr>
                <w:rFonts w:ascii="仿宋_GB2312" w:eastAsia="仿宋_GB2312"/>
                <w:b/>
                <w:sz w:val="32"/>
                <w:szCs w:val="32"/>
                <w:u w:color="FFFFFF" w:themeColor="background1"/>
              </w:rPr>
              <w:t>序号</w:t>
            </w:r>
          </w:p>
        </w:tc>
        <w:tc>
          <w:tcPr>
            <w:tcW w:w="4420" w:type="dxa"/>
            <w:vAlign w:val="bottom"/>
          </w:tcPr>
          <w:p>
            <w:pPr>
              <w:pStyle w:val="2"/>
              <w:pageBreakBefore w:val="0"/>
              <w:kinsoku/>
              <w:wordWrap/>
              <w:overflowPunct/>
              <w:topLinePunct w:val="0"/>
              <w:autoSpaceDE/>
              <w:autoSpaceDN/>
              <w:bidi w:val="0"/>
              <w:spacing w:line="570" w:lineRule="exact"/>
              <w:ind w:left="0" w:leftChars="0" w:firstLine="0"/>
              <w:jc w:val="center"/>
              <w:textAlignment w:val="auto"/>
              <w:rPr>
                <w:rFonts w:hint="default" w:ascii="仿宋_GB2312" w:eastAsia="仿宋_GB2312"/>
                <w:b/>
                <w:sz w:val="32"/>
                <w:szCs w:val="32"/>
                <w:u w:color="FFFFFF" w:themeColor="background1"/>
              </w:rPr>
            </w:pPr>
            <w:r>
              <w:rPr>
                <w:rFonts w:ascii="仿宋_GB2312" w:eastAsia="仿宋_GB2312"/>
                <w:b/>
                <w:sz w:val="32"/>
                <w:szCs w:val="32"/>
                <w:u w:color="FFFFFF" w:themeColor="background1"/>
              </w:rPr>
              <w:t>单位名称</w:t>
            </w:r>
          </w:p>
        </w:tc>
        <w:tc>
          <w:tcPr>
            <w:tcW w:w="3650" w:type="dxa"/>
            <w:vAlign w:val="bottom"/>
          </w:tcPr>
          <w:p>
            <w:pPr>
              <w:pStyle w:val="2"/>
              <w:pageBreakBefore w:val="0"/>
              <w:kinsoku/>
              <w:wordWrap/>
              <w:overflowPunct/>
              <w:topLinePunct w:val="0"/>
              <w:autoSpaceDE/>
              <w:autoSpaceDN/>
              <w:bidi w:val="0"/>
              <w:spacing w:line="570" w:lineRule="exact"/>
              <w:ind w:left="0" w:leftChars="0" w:firstLine="0"/>
              <w:jc w:val="center"/>
              <w:textAlignment w:val="auto"/>
              <w:rPr>
                <w:rFonts w:hint="default" w:ascii="仿宋_GB2312" w:eastAsia="仿宋_GB2312"/>
                <w:b/>
                <w:sz w:val="32"/>
                <w:szCs w:val="32"/>
                <w:u w:color="FFFFFF" w:themeColor="background1"/>
              </w:rPr>
            </w:pPr>
            <w:r>
              <w:rPr>
                <w:rFonts w:ascii="仿宋_GB2312" w:eastAsia="仿宋_GB2312"/>
                <w:b/>
                <w:sz w:val="32"/>
                <w:szCs w:val="32"/>
                <w:u w:color="FFFFFF" w:themeColor="background1"/>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tcPr>
          <w:p>
            <w:pPr>
              <w:pStyle w:val="2"/>
              <w:pageBreakBefore w:val="0"/>
              <w:kinsoku/>
              <w:wordWrap/>
              <w:overflowPunct/>
              <w:topLinePunct w:val="0"/>
              <w:autoSpaceDE/>
              <w:autoSpaceDN/>
              <w:bidi w:val="0"/>
              <w:spacing w:line="570" w:lineRule="exact"/>
              <w:ind w:left="0" w:leftChars="0" w:firstLine="0"/>
              <w:jc w:val="center"/>
              <w:textAlignment w:val="auto"/>
              <w:rPr>
                <w:rFonts w:hint="eastAsia"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28"/>
                <w:szCs w:val="28"/>
                <w:u w:color="FFFFFF" w:themeColor="background1"/>
                <w:lang w:val="en-US" w:eastAsia="zh-CN"/>
              </w:rPr>
              <w:t>1</w:t>
            </w:r>
          </w:p>
        </w:tc>
        <w:tc>
          <w:tcPr>
            <w:tcW w:w="4420" w:type="dxa"/>
          </w:tcPr>
          <w:p>
            <w:pPr>
              <w:pStyle w:val="2"/>
              <w:pageBreakBefore w:val="0"/>
              <w:kinsoku/>
              <w:wordWrap/>
              <w:overflowPunct/>
              <w:topLinePunct w:val="0"/>
              <w:autoSpaceDE/>
              <w:autoSpaceDN/>
              <w:bidi w:val="0"/>
              <w:spacing w:line="570" w:lineRule="exact"/>
              <w:ind w:left="0" w:leftChars="0" w:firstLine="0"/>
              <w:jc w:val="center"/>
              <w:textAlignment w:val="auto"/>
              <w:rPr>
                <w:rFonts w:hint="eastAsia"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28"/>
                <w:szCs w:val="28"/>
                <w:u w:color="FFFFFF" w:themeColor="background1"/>
                <w:lang w:val="en-US" w:eastAsia="zh-CN"/>
              </w:rPr>
              <w:t>包头市民政局</w:t>
            </w:r>
          </w:p>
        </w:tc>
        <w:tc>
          <w:tcPr>
            <w:tcW w:w="3650" w:type="dxa"/>
          </w:tcPr>
          <w:p>
            <w:pPr>
              <w:pStyle w:val="2"/>
              <w:pageBreakBefore w:val="0"/>
              <w:kinsoku/>
              <w:wordWrap/>
              <w:overflowPunct/>
              <w:topLinePunct w:val="0"/>
              <w:autoSpaceDE/>
              <w:autoSpaceDN/>
              <w:bidi w:val="0"/>
              <w:spacing w:line="570" w:lineRule="exact"/>
              <w:ind w:left="0" w:leftChars="0" w:firstLine="0"/>
              <w:jc w:val="center"/>
              <w:textAlignment w:val="auto"/>
              <w:rPr>
                <w:rFonts w:hint="eastAsia" w:ascii="仿宋_GB2312" w:hAnsi="仿宋_GB2312" w:eastAsia="仿宋_GB2312" w:cs="仿宋_GB2312"/>
                <w:sz w:val="28"/>
                <w:szCs w:val="28"/>
                <w:u w:color="FFFFFF" w:themeColor="background1"/>
                <w:lang w:val="en-US" w:eastAsia="zh-CN"/>
              </w:rPr>
            </w:pPr>
            <w:r>
              <w:rPr>
                <w:rFonts w:hint="eastAsia" w:ascii="仿宋_GB2312" w:hAnsi="仿宋_GB2312" w:eastAsia="仿宋_GB2312" w:cs="仿宋_GB2312"/>
                <w:sz w:val="28"/>
                <w:szCs w:val="28"/>
                <w:u w:color="FFFFFF" w:themeColor="background1"/>
                <w:lang w:val="en-US" w:eastAsia="zh-CN"/>
              </w:rPr>
              <w:t>行政单位</w:t>
            </w:r>
          </w:p>
        </w:tc>
      </w:tr>
    </w:tbl>
    <w:p>
      <w:pPr>
        <w:pageBreakBefore w:val="0"/>
        <w:kinsoku/>
        <w:wordWrap/>
        <w:overflowPunct/>
        <w:topLinePunct w:val="0"/>
        <w:bidi w:val="0"/>
        <w:spacing w:line="600" w:lineRule="exact"/>
        <w:ind w:firstLine="640" w:firstLineChars="200"/>
        <w:rPr>
          <w:rFonts w:hint="eastAsia" w:eastAsia="仿宋_GB2312" w:cstheme="minorBidi"/>
          <w:sz w:val="32"/>
          <w:szCs w:val="32"/>
          <w:highlight w:val="yellow"/>
          <w:u w:color="FFFFFF" w:themeColor="background1"/>
        </w:rPr>
      </w:pPr>
    </w:p>
    <w:p>
      <w:pPr>
        <w:pageBreakBefore w:val="0"/>
        <w:kinsoku/>
        <w:wordWrap/>
        <w:overflowPunct/>
        <w:topLinePunct w:val="0"/>
        <w:bidi w:val="0"/>
        <w:spacing w:line="600" w:lineRule="exact"/>
        <w:ind w:firstLine="640" w:firstLineChars="200"/>
        <w:rPr>
          <w:rFonts w:ascii="方正小标宋简体" w:hAnsi="方正小标宋简体" w:eastAsia="方正小标宋简体" w:cs="方正小标宋简体"/>
          <w:b w:val="0"/>
          <w:bCs w:val="0"/>
          <w:sz w:val="36"/>
          <w:szCs w:val="36"/>
          <w:u w:color="FFFFFF" w:themeColor="background1"/>
        </w:rPr>
      </w:pPr>
      <w:r>
        <w:rPr>
          <w:rFonts w:hint="eastAsia" w:eastAsia="黑体" w:cs="黑体"/>
          <w:b w:val="0"/>
          <w:bCs w:val="0"/>
          <w:sz w:val="32"/>
          <w:szCs w:val="36"/>
          <w:u w:color="FFFFFF" w:themeColor="background1"/>
        </w:rPr>
        <w:t>三、</w:t>
      </w:r>
      <w:r>
        <w:rPr>
          <w:rFonts w:hint="eastAsia" w:eastAsia="黑体" w:cs="黑体"/>
          <w:b w:val="0"/>
          <w:bCs w:val="0"/>
          <w:sz w:val="32"/>
          <w:szCs w:val="36"/>
          <w:u w:color="FFFFFF" w:themeColor="background1"/>
          <w:lang w:val="en-US" w:eastAsia="zh-CN"/>
        </w:rPr>
        <w:t>2023</w:t>
      </w:r>
      <w:r>
        <w:rPr>
          <w:rFonts w:hint="eastAsia" w:eastAsia="黑体" w:cs="黑体"/>
          <w:b w:val="0"/>
          <w:bCs w:val="0"/>
          <w:sz w:val="32"/>
          <w:szCs w:val="36"/>
          <w:u w:color="FFFFFF" w:themeColor="background1"/>
        </w:rPr>
        <w:t>年单位主要工作任务及目标</w:t>
      </w:r>
    </w:p>
    <w:p>
      <w:pPr>
        <w:widowControl/>
        <w:spacing w:beforeLines="0" w:afterLines="0" w:line="560" w:lineRule="exact"/>
        <w:ind w:firstLine="640" w:firstLineChars="200"/>
        <w:textAlignment w:val="baseline"/>
        <w:rPr>
          <w:rFonts w:hint="eastAsia" w:ascii="仿宋_GB2312" w:hAnsi="方正楷体_GBK" w:eastAsia="仿宋_GB2312" w:cs="方正楷体_GBK"/>
          <w:color w:val="000000"/>
          <w:sz w:val="32"/>
          <w:szCs w:val="32"/>
          <w:u w:color="FFFFFF" w:themeColor="background1"/>
        </w:rPr>
      </w:pPr>
      <w:r>
        <w:rPr>
          <w:rFonts w:hint="eastAsia" w:ascii="仿宋_GB2312" w:hAnsi="方正楷体_GBK" w:eastAsia="仿宋_GB2312" w:cs="方正楷体_GBK"/>
          <w:color w:val="000000"/>
          <w:sz w:val="32"/>
          <w:szCs w:val="32"/>
          <w:u w:color="FFFFFF" w:themeColor="background1"/>
        </w:rPr>
        <w:t>按照习近平总书记在二十大报告中指出“必须坚持在发展中保障和改善民生，鼓励共同奋斗创造美好生活，不断实现人民对美好生活的向往。”的重要谋划和部署，立足民政三个体系建设，2023年我们将紧紧围绕增进民生福祉、创新基层社会治理、优化基本社会服务的工作思路，持续强化基层和基础工作，加强民政服务设施建设，夯实民政事业高质量发展的根基，以民政事业高质量发展助力谱写全面建设社会主义现代化国家新篇章。</w:t>
      </w:r>
    </w:p>
    <w:p>
      <w:pPr>
        <w:numPr>
          <w:ilvl w:val="0"/>
          <w:numId w:val="3"/>
        </w:numPr>
        <w:spacing w:beforeLines="0" w:afterLines="0" w:line="560" w:lineRule="exact"/>
        <w:ind w:firstLine="643"/>
        <w:rPr>
          <w:rFonts w:hint="default" w:ascii="Times New Roman" w:hAnsi="Times New Roman" w:eastAsia="仿宋_GB2312"/>
          <w:b/>
          <w:color w:val="000000"/>
          <w:kern w:val="0"/>
          <w:sz w:val="32"/>
          <w:szCs w:val="32"/>
          <w:u w:color="FFFFFF" w:themeColor="background1"/>
        </w:rPr>
      </w:pPr>
      <w:r>
        <w:rPr>
          <w:rFonts w:hint="eastAsia" w:ascii="Times New Roman" w:hAnsi="Times New Roman" w:eastAsia="仿宋_GB2312"/>
          <w:b/>
          <w:color w:val="000000"/>
          <w:kern w:val="0"/>
          <w:sz w:val="32"/>
          <w:szCs w:val="32"/>
          <w:u w:color="FFFFFF" w:themeColor="background1"/>
        </w:rPr>
        <w:t>更加坚实有力织密筑牢基本民生保障体系</w:t>
      </w:r>
    </w:p>
    <w:p>
      <w:pPr>
        <w:spacing w:beforeLines="0" w:afterLines="0" w:line="560" w:lineRule="exact"/>
        <w:ind w:firstLine="643" w:firstLineChars="200"/>
        <w:rPr>
          <w:rFonts w:hint="default" w:ascii="Times New Roman" w:hAnsi="Times New Roman" w:eastAsia="仿宋_GB2312"/>
          <w:color w:val="000000"/>
          <w:kern w:val="0"/>
          <w:sz w:val="32"/>
          <w:szCs w:val="32"/>
          <w:u w:color="FFFFFF" w:themeColor="background1"/>
        </w:rPr>
      </w:pPr>
      <w:r>
        <w:rPr>
          <w:rFonts w:hint="eastAsia" w:ascii="Times New Roman" w:hAnsi="Times New Roman" w:eastAsia="仿宋_GB2312"/>
          <w:b/>
          <w:color w:val="000000"/>
          <w:kern w:val="0"/>
          <w:sz w:val="32"/>
          <w:szCs w:val="32"/>
          <w:u w:color="FFFFFF" w:themeColor="background1"/>
        </w:rPr>
        <w:t>工作目标</w:t>
      </w:r>
      <w:r>
        <w:rPr>
          <w:rFonts w:hint="eastAsia" w:ascii="Times New Roman" w:hAnsi="Times New Roman" w:eastAsia="仿宋_GB2312"/>
          <w:color w:val="000000"/>
          <w:kern w:val="0"/>
          <w:sz w:val="32"/>
          <w:szCs w:val="32"/>
          <w:u w:color="FFFFFF" w:themeColor="background1"/>
        </w:rPr>
        <w:t>：以低保提标为托底，以修订我市低保认定办法、适当扩大最低生活保障范围为重点，以社会救助由单一型物质救助向“物质+服务”综合救助新模式转变为亮点，确保兜住底、兜准底、兜好底，不断健全分层分类的社会救助体系。</w:t>
      </w:r>
    </w:p>
    <w:p>
      <w:pPr>
        <w:spacing w:beforeLines="0" w:afterLines="0" w:line="560" w:lineRule="exact"/>
        <w:ind w:firstLine="643" w:firstLineChars="200"/>
        <w:rPr>
          <w:rFonts w:hint="default"/>
          <w:sz w:val="21"/>
          <w:szCs w:val="24"/>
          <w:u w:color="FFFFFF" w:themeColor="background1"/>
        </w:rPr>
      </w:pPr>
      <w:r>
        <w:rPr>
          <w:rFonts w:hint="eastAsia" w:ascii="Times New Roman" w:hAnsi="Times New Roman" w:eastAsia="仿宋_GB2312"/>
          <w:b/>
          <w:color w:val="000000"/>
          <w:kern w:val="0"/>
          <w:sz w:val="32"/>
          <w:szCs w:val="32"/>
          <w:u w:color="FFFFFF" w:themeColor="background1"/>
        </w:rPr>
        <w:t>工作措施</w:t>
      </w:r>
      <w:r>
        <w:rPr>
          <w:rFonts w:hint="eastAsia" w:ascii="Times New Roman" w:hAnsi="Times New Roman" w:eastAsia="仿宋_GB2312"/>
          <w:color w:val="000000"/>
          <w:kern w:val="0"/>
          <w:sz w:val="32"/>
          <w:szCs w:val="32"/>
          <w:u w:color="FFFFFF" w:themeColor="background1"/>
        </w:rPr>
        <w:t>：</w:t>
      </w:r>
    </w:p>
    <w:p>
      <w:pPr>
        <w:spacing w:beforeLines="0" w:afterLines="0" w:line="560" w:lineRule="exact"/>
        <w:ind w:firstLine="640" w:firstLineChars="200"/>
        <w:rPr>
          <w:rFonts w:hint="default" w:ascii="Times New Roman" w:hAnsi="Times New Roman" w:eastAsia="仿宋_GB2312"/>
          <w:color w:val="000000"/>
          <w:kern w:val="0"/>
          <w:sz w:val="32"/>
          <w:szCs w:val="32"/>
          <w:u w:color="FFFFFF" w:themeColor="background1"/>
        </w:rPr>
      </w:pPr>
      <w:r>
        <w:rPr>
          <w:rFonts w:hint="eastAsia" w:ascii="Times New Roman" w:hAnsi="Times New Roman" w:eastAsia="仿宋_GB2312"/>
          <w:color w:val="000000"/>
          <w:kern w:val="0"/>
          <w:sz w:val="32"/>
          <w:szCs w:val="32"/>
          <w:u w:color="FFFFFF" w:themeColor="background1"/>
        </w:rPr>
        <w:t>（1）</w:t>
      </w:r>
      <w:r>
        <w:rPr>
          <w:rFonts w:hint="eastAsia" w:ascii="Times New Roman" w:hAnsi="Times New Roman" w:eastAsia="仿宋_GB2312"/>
          <w:b/>
          <w:color w:val="000000"/>
          <w:kern w:val="0"/>
          <w:sz w:val="32"/>
          <w:szCs w:val="32"/>
          <w:u w:color="FFFFFF" w:themeColor="background1"/>
        </w:rPr>
        <w:t>进一步提高城乡困难群众救助标准</w:t>
      </w:r>
      <w:r>
        <w:rPr>
          <w:rFonts w:hint="eastAsia" w:ascii="Times New Roman" w:hAnsi="Times New Roman" w:eastAsia="仿宋_GB2312"/>
          <w:color w:val="000000"/>
          <w:kern w:val="0"/>
          <w:sz w:val="32"/>
          <w:szCs w:val="32"/>
          <w:u w:color="FFFFFF" w:themeColor="background1"/>
        </w:rPr>
        <w:t>，拟按照不低于5%的比例进行提标。（完成时限：6月底）</w:t>
      </w:r>
    </w:p>
    <w:p>
      <w:pPr>
        <w:widowControl/>
        <w:spacing w:beforeLines="0" w:afterLines="0" w:line="560" w:lineRule="exact"/>
        <w:ind w:firstLine="640" w:firstLineChars="200"/>
        <w:textAlignment w:val="baseline"/>
        <w:rPr>
          <w:rFonts w:hint="default" w:ascii="Times New Roman" w:hAnsi="Times New Roman" w:eastAsia="仿宋_GB2312"/>
          <w:color w:val="000000"/>
          <w:kern w:val="0"/>
          <w:sz w:val="32"/>
          <w:szCs w:val="32"/>
          <w:u w:color="FFFFFF" w:themeColor="background1"/>
        </w:rPr>
      </w:pPr>
      <w:r>
        <w:rPr>
          <w:rFonts w:hint="eastAsia" w:ascii="Times New Roman" w:hAnsi="Times New Roman" w:eastAsia="仿宋_GB2312"/>
          <w:color w:val="000000"/>
          <w:kern w:val="0"/>
          <w:sz w:val="32"/>
          <w:szCs w:val="32"/>
          <w:u w:color="FFFFFF" w:themeColor="background1"/>
        </w:rPr>
        <w:t>（2）</w:t>
      </w:r>
      <w:r>
        <w:rPr>
          <w:rFonts w:hint="eastAsia" w:ascii="Times New Roman" w:hAnsi="Times New Roman" w:eastAsia="仿宋_GB2312"/>
          <w:b/>
          <w:color w:val="000000"/>
          <w:kern w:val="0"/>
          <w:sz w:val="32"/>
          <w:szCs w:val="32"/>
          <w:u w:color="FFFFFF" w:themeColor="background1"/>
        </w:rPr>
        <w:t>修订我市低保认定办法</w:t>
      </w:r>
      <w:r>
        <w:rPr>
          <w:rFonts w:hint="eastAsia" w:ascii="Times New Roman" w:hAnsi="Times New Roman" w:eastAsia="仿宋_GB2312"/>
          <w:color w:val="000000"/>
          <w:kern w:val="0"/>
          <w:sz w:val="32"/>
          <w:szCs w:val="32"/>
          <w:u w:color="FFFFFF" w:themeColor="background1"/>
        </w:rPr>
        <w:t>，</w:t>
      </w:r>
      <w:r>
        <w:rPr>
          <w:rFonts w:hint="eastAsia" w:ascii="Times New Roman" w:hAnsi="Times New Roman" w:eastAsia="仿宋_GB2312"/>
          <w:b/>
          <w:color w:val="000000"/>
          <w:kern w:val="0"/>
          <w:sz w:val="32"/>
          <w:szCs w:val="32"/>
          <w:u w:color="FFFFFF" w:themeColor="background1"/>
        </w:rPr>
        <w:t>适度扩大保障范围</w:t>
      </w:r>
      <w:r>
        <w:rPr>
          <w:rFonts w:hint="eastAsia" w:ascii="Times New Roman" w:hAnsi="Times New Roman" w:eastAsia="仿宋_GB2312"/>
          <w:color w:val="000000"/>
          <w:kern w:val="0"/>
          <w:sz w:val="32"/>
          <w:szCs w:val="32"/>
          <w:u w:color="FFFFFF" w:themeColor="background1"/>
        </w:rPr>
        <w:t>。做好困难群众急难救助，建立健全快速响应和个案会商“救急难”工作机制。持续加强低收入人口主动发现和动态监测帮扶机制，对低保边缘家庭中的重度残疾人、重病患者，采取“单人户”依规纳入低保等措施予以保障。（完成时限：12月底）</w:t>
      </w:r>
    </w:p>
    <w:p>
      <w:pPr>
        <w:widowControl/>
        <w:spacing w:beforeLines="0" w:afterLines="0" w:line="560" w:lineRule="exact"/>
        <w:ind w:firstLine="640" w:firstLineChars="200"/>
        <w:textAlignment w:val="baseline"/>
        <w:rPr>
          <w:rFonts w:hint="eastAsia" w:ascii="楷体" w:hAnsi="楷体" w:eastAsia="楷体" w:cs="楷体"/>
          <w:color w:val="000000"/>
          <w:kern w:val="0"/>
          <w:sz w:val="32"/>
          <w:szCs w:val="32"/>
          <w:u w:color="FFFFFF" w:themeColor="background1"/>
        </w:rPr>
      </w:pPr>
      <w:r>
        <w:rPr>
          <w:rFonts w:hint="eastAsia" w:ascii="Times New Roman" w:hAnsi="Times New Roman" w:eastAsia="仿宋_GB2312"/>
          <w:color w:val="000000"/>
          <w:kern w:val="0"/>
          <w:sz w:val="32"/>
          <w:szCs w:val="32"/>
          <w:u w:color="FFFFFF" w:themeColor="background1"/>
        </w:rPr>
        <w:t>（3）</w:t>
      </w:r>
      <w:r>
        <w:rPr>
          <w:rFonts w:hint="eastAsia" w:ascii="Times New Roman" w:hAnsi="Times New Roman" w:eastAsia="仿宋_GB2312"/>
          <w:b/>
          <w:color w:val="000000"/>
          <w:kern w:val="0"/>
          <w:sz w:val="32"/>
          <w:szCs w:val="32"/>
          <w:u w:color="FFFFFF" w:themeColor="background1"/>
        </w:rPr>
        <w:t>加快构建“物质+服务”综合救助新模式。</w:t>
      </w:r>
      <w:r>
        <w:rPr>
          <w:rFonts w:hint="eastAsia" w:ascii="Times New Roman" w:hAnsi="Times New Roman" w:eastAsia="仿宋_GB2312"/>
          <w:color w:val="000000"/>
          <w:kern w:val="0"/>
          <w:sz w:val="32"/>
          <w:szCs w:val="32"/>
          <w:u w:color="FFFFFF" w:themeColor="background1"/>
        </w:rPr>
        <w:t>在做好困难群众基本生活保障的“物质救助”基础上，通过政府购买服务，引入社会力量按需为困难群众提供“服务类救助”，不断满足困难群众多样化、多层次生活需求。全面落实特困人员照料护理责任，分散供养特困人员照护服务比例达到100%。（完成时限：11月底）</w:t>
      </w:r>
    </w:p>
    <w:p>
      <w:pPr>
        <w:numPr>
          <w:ilvl w:val="0"/>
          <w:numId w:val="3"/>
        </w:numPr>
        <w:spacing w:beforeLines="0" w:afterLines="0" w:line="560" w:lineRule="exact"/>
        <w:ind w:firstLine="643"/>
        <w:rPr>
          <w:rFonts w:hint="default" w:ascii="Times New Roman" w:hAnsi="Times New Roman" w:eastAsia="仿宋_GB2312"/>
          <w:b/>
          <w:color w:val="000000"/>
          <w:kern w:val="0"/>
          <w:sz w:val="32"/>
          <w:szCs w:val="32"/>
          <w:u w:color="FFFFFF" w:themeColor="background1"/>
        </w:rPr>
      </w:pPr>
      <w:r>
        <w:rPr>
          <w:rFonts w:hint="eastAsia" w:ascii="Times New Roman" w:hAnsi="Times New Roman" w:eastAsia="仿宋_GB2312"/>
          <w:b/>
          <w:color w:val="000000"/>
          <w:kern w:val="0"/>
          <w:sz w:val="32"/>
          <w:szCs w:val="32"/>
          <w:u w:color="FFFFFF" w:themeColor="background1"/>
        </w:rPr>
        <w:t>更加有序高效提升基层社会治理体系</w:t>
      </w:r>
    </w:p>
    <w:p>
      <w:pPr>
        <w:wordWrap w:val="0"/>
        <w:adjustRightInd w:val="0"/>
        <w:snapToGrid w:val="0"/>
        <w:spacing w:beforeLines="0" w:afterLines="0" w:line="560" w:lineRule="exact"/>
        <w:ind w:firstLine="643" w:firstLineChars="200"/>
        <w:rPr>
          <w:rFonts w:hint="default" w:ascii="Times New Roman" w:hAnsi="Times New Roman" w:eastAsia="仿宋_GB2312"/>
          <w:color w:val="000000"/>
          <w:kern w:val="0"/>
          <w:sz w:val="32"/>
          <w:szCs w:val="32"/>
          <w:u w:color="FFFFFF" w:themeColor="background1"/>
        </w:rPr>
      </w:pPr>
      <w:r>
        <w:rPr>
          <w:rFonts w:hint="eastAsia" w:ascii="Times New Roman" w:hAnsi="Times New Roman" w:eastAsia="仿宋_GB2312"/>
          <w:b/>
          <w:color w:val="000000"/>
          <w:kern w:val="0"/>
          <w:sz w:val="32"/>
          <w:szCs w:val="32"/>
          <w:u w:color="FFFFFF" w:themeColor="background1"/>
        </w:rPr>
        <w:t>工作目标</w:t>
      </w:r>
      <w:r>
        <w:rPr>
          <w:rFonts w:hint="eastAsia" w:ascii="Times New Roman" w:hAnsi="Times New Roman" w:eastAsia="仿宋_GB2312"/>
          <w:color w:val="000000"/>
          <w:kern w:val="0"/>
          <w:sz w:val="32"/>
          <w:szCs w:val="32"/>
          <w:u w:color="FFFFFF" w:themeColor="background1"/>
        </w:rPr>
        <w:t>：贯彻落实推进国家治理体系和治理能力现代化重点任务，以明确村级组织承担事务、为基层减负为新亮点，以持续推进城镇社区综合服务设施建设、完善村规民约等举措为抓手，以全国、自治区两级村级议事协商试点为示范，以社会组织、社会工作、公益慈善事业等社会力量为补充，不断健全城乡社区治理体系。</w:t>
      </w:r>
    </w:p>
    <w:p>
      <w:pPr>
        <w:wordWrap w:val="0"/>
        <w:adjustRightInd w:val="0"/>
        <w:snapToGrid w:val="0"/>
        <w:spacing w:beforeLines="0" w:afterLines="0" w:line="560" w:lineRule="exact"/>
        <w:ind w:firstLine="643" w:firstLineChars="200"/>
        <w:rPr>
          <w:rFonts w:hint="default" w:ascii="Times New Roman" w:hAnsi="Times New Roman" w:eastAsia="仿宋_GB2312"/>
          <w:b/>
          <w:color w:val="000000"/>
          <w:kern w:val="0"/>
          <w:sz w:val="32"/>
          <w:szCs w:val="32"/>
          <w:u w:color="FFFFFF" w:themeColor="background1"/>
        </w:rPr>
      </w:pPr>
      <w:r>
        <w:rPr>
          <w:rFonts w:hint="eastAsia" w:ascii="Times New Roman" w:hAnsi="Times New Roman" w:eastAsia="仿宋_GB2312"/>
          <w:b/>
          <w:color w:val="000000"/>
          <w:kern w:val="0"/>
          <w:sz w:val="32"/>
          <w:szCs w:val="32"/>
          <w:u w:color="FFFFFF" w:themeColor="background1"/>
        </w:rPr>
        <w:t>工作措施：</w:t>
      </w:r>
    </w:p>
    <w:p>
      <w:pPr>
        <w:wordWrap w:val="0"/>
        <w:adjustRightInd w:val="0"/>
        <w:snapToGrid w:val="0"/>
        <w:spacing w:beforeLines="0" w:afterLines="0" w:line="560" w:lineRule="exact"/>
        <w:ind w:firstLine="640" w:firstLineChars="200"/>
        <w:rPr>
          <w:rFonts w:hint="default" w:ascii="Times New Roman" w:hAnsi="Times New Roman" w:eastAsia="仿宋_GB2312"/>
          <w:color w:val="000000"/>
          <w:kern w:val="0"/>
          <w:sz w:val="32"/>
          <w:szCs w:val="32"/>
          <w:u w:color="FFFFFF" w:themeColor="background1"/>
        </w:rPr>
      </w:pPr>
      <w:r>
        <w:rPr>
          <w:rFonts w:hint="eastAsia" w:ascii="Times New Roman" w:hAnsi="Times New Roman" w:eastAsia="仿宋_GB2312"/>
          <w:color w:val="000000"/>
          <w:kern w:val="0"/>
          <w:sz w:val="32"/>
          <w:szCs w:val="32"/>
          <w:u w:color="FFFFFF" w:themeColor="background1"/>
        </w:rPr>
        <w:t>（1）</w:t>
      </w:r>
      <w:r>
        <w:rPr>
          <w:rFonts w:hint="eastAsia" w:ascii="Times New Roman" w:hAnsi="Times New Roman" w:eastAsia="仿宋_GB2312"/>
          <w:b/>
          <w:color w:val="000000"/>
          <w:kern w:val="0"/>
          <w:sz w:val="32"/>
          <w:szCs w:val="32"/>
          <w:u w:color="FFFFFF" w:themeColor="background1"/>
        </w:rPr>
        <w:t>社区治理能力水平取得最大公约数</w:t>
      </w:r>
      <w:r>
        <w:rPr>
          <w:rFonts w:hint="eastAsia" w:ascii="Times New Roman" w:hAnsi="Times New Roman" w:eastAsia="仿宋_GB2312"/>
          <w:color w:val="000000"/>
          <w:kern w:val="0"/>
          <w:sz w:val="32"/>
          <w:szCs w:val="32"/>
          <w:u w:color="FFFFFF" w:themeColor="background1"/>
        </w:rPr>
        <w:t>。</w:t>
      </w:r>
      <w:r>
        <w:rPr>
          <w:rFonts w:hint="eastAsia" w:ascii="仿宋_GB2312" w:hAnsi="仿宋_GB2312" w:eastAsia="仿宋_GB2312" w:cs="仿宋_GB2312"/>
          <w:snapToGrid w:val="0"/>
          <w:color w:val="000000"/>
          <w:kern w:val="0"/>
          <w:sz w:val="32"/>
          <w:szCs w:val="32"/>
          <w:u w:color="FFFFFF" w:themeColor="background1"/>
        </w:rPr>
        <w:t>认真</w:t>
      </w:r>
      <w:r>
        <w:rPr>
          <w:rFonts w:hint="eastAsia" w:ascii="仿宋_GB2312" w:hAnsi="仿宋_GB2312" w:eastAsia="仿宋_GB2312" w:cs="仿宋_GB2312"/>
          <w:color w:val="000000"/>
          <w:sz w:val="32"/>
          <w:szCs w:val="32"/>
          <w:u w:color="FFFFFF" w:themeColor="background1"/>
        </w:rPr>
        <w:t>落实《中共中央办公厅、国务院办公厅关于规范村级组织工作事务、机制牌子和证明事项的意见》，减轻基层组织负担。加强社区工作者队伍及综合服务设施建设，推动旗县区实现每万名城镇常住人口拥有社区工作者16人，城镇每百户常住居民拥有社区综合服务设施建设面积达31平方米的目标。（完成时限：12月底）</w:t>
      </w:r>
    </w:p>
    <w:p>
      <w:pPr>
        <w:wordWrap w:val="0"/>
        <w:adjustRightInd w:val="0"/>
        <w:snapToGrid w:val="0"/>
        <w:spacing w:beforeLines="0" w:afterLines="0" w:line="560" w:lineRule="exact"/>
        <w:ind w:firstLine="640" w:firstLineChars="200"/>
        <w:rPr>
          <w:rFonts w:hint="eastAsia" w:ascii="仿宋_GB2312" w:hAnsi="仿宋_GB2312" w:eastAsia="仿宋_GB2312" w:cs="仿宋_GB2312"/>
          <w:sz w:val="32"/>
          <w:szCs w:val="32"/>
          <w:u w:color="FFFFFF" w:themeColor="background1"/>
        </w:rPr>
      </w:pPr>
      <w:r>
        <w:rPr>
          <w:rFonts w:hint="eastAsia" w:ascii="Times New Roman" w:hAnsi="Times New Roman" w:eastAsia="仿宋_GB2312"/>
          <w:color w:val="000000"/>
          <w:kern w:val="0"/>
          <w:sz w:val="32"/>
          <w:szCs w:val="32"/>
          <w:u w:color="FFFFFF" w:themeColor="background1"/>
        </w:rPr>
        <w:t>（2）</w:t>
      </w:r>
      <w:r>
        <w:rPr>
          <w:rFonts w:hint="eastAsia" w:ascii="仿宋_GB2312" w:hAnsi="仿宋_GB2312" w:eastAsia="仿宋_GB2312" w:cs="仿宋_GB2312"/>
          <w:b/>
          <w:sz w:val="32"/>
          <w:szCs w:val="32"/>
          <w:u w:color="FFFFFF" w:themeColor="background1"/>
        </w:rPr>
        <w:t>健全共建共治共享的基层治理模式</w:t>
      </w:r>
      <w:r>
        <w:rPr>
          <w:rFonts w:hint="eastAsia" w:ascii="仿宋_GB2312" w:hAnsi="仿宋_GB2312" w:eastAsia="仿宋_GB2312" w:cs="仿宋_GB2312"/>
          <w:sz w:val="32"/>
          <w:szCs w:val="32"/>
          <w:u w:color="FFFFFF" w:themeColor="background1"/>
        </w:rPr>
        <w:t>。完善村规民约、居民公约依法制定等机制，健全议事协商目录，鼓励居民群众参与议事协商，保障居民群众的知情权、参与权、表达权和监督权，推进全过程人民民主。助力移风易俗推进文明乡风建设。（完成时限：12月底）</w:t>
      </w:r>
    </w:p>
    <w:p>
      <w:pPr>
        <w:wordWrap w:val="0"/>
        <w:adjustRightInd w:val="0"/>
        <w:snapToGrid w:val="0"/>
        <w:spacing w:beforeLines="0" w:afterLines="0" w:line="560" w:lineRule="exact"/>
        <w:ind w:firstLine="640" w:firstLineChars="200"/>
        <w:rPr>
          <w:rFonts w:hint="default" w:ascii="Times New Roman" w:hAnsi="Times New Roman" w:eastAsia="仿宋_GB2312"/>
          <w:color w:val="000000"/>
          <w:kern w:val="0"/>
          <w:sz w:val="32"/>
          <w:szCs w:val="32"/>
          <w:u w:color="FFFFFF" w:themeColor="background1"/>
        </w:rPr>
      </w:pPr>
      <w:r>
        <w:rPr>
          <w:rFonts w:hint="eastAsia" w:ascii="Times New Roman" w:hAnsi="Times New Roman" w:eastAsia="仿宋_GB2312"/>
          <w:color w:val="000000"/>
          <w:kern w:val="0"/>
          <w:sz w:val="32"/>
          <w:szCs w:val="32"/>
          <w:u w:color="FFFFFF" w:themeColor="background1"/>
        </w:rPr>
        <w:t>（3）</w:t>
      </w:r>
      <w:r>
        <w:rPr>
          <w:rFonts w:hint="eastAsia" w:ascii="仿宋_GB2312" w:hAnsi="仿宋_GB2312" w:eastAsia="仿宋_GB2312" w:cs="仿宋_GB2312"/>
          <w:b/>
          <w:sz w:val="32"/>
          <w:szCs w:val="32"/>
          <w:u w:color="FFFFFF" w:themeColor="background1"/>
        </w:rPr>
        <w:t>加强推进创新试点实验区建设</w:t>
      </w:r>
      <w:r>
        <w:rPr>
          <w:rFonts w:hint="eastAsia" w:ascii="仿宋_GB2312" w:hAnsi="仿宋_GB2312" w:eastAsia="仿宋_GB2312" w:cs="仿宋_GB2312"/>
          <w:sz w:val="32"/>
          <w:szCs w:val="32"/>
          <w:u w:color="FFFFFF" w:themeColor="background1"/>
        </w:rPr>
        <w:t>。做好青山区昌福村和九原区阿嘎如泰嘎查全国村级议事协商示范试点创建工作。继续开展自治区社区治理创新实验区创建工作，总结推广第一批（青山区）实验区经验，指导第二批（昆区、东河区）开展创建工作。（完成时限：10月底）</w:t>
      </w:r>
    </w:p>
    <w:p>
      <w:pPr>
        <w:wordWrap w:val="0"/>
        <w:adjustRightInd w:val="0"/>
        <w:snapToGrid w:val="0"/>
        <w:spacing w:beforeLines="0" w:afterLines="0" w:line="560" w:lineRule="exact"/>
        <w:ind w:firstLine="640" w:firstLineChars="200"/>
        <w:rPr>
          <w:rFonts w:hint="eastAsia" w:ascii="仿宋_GB2312" w:hAnsi="仿宋_GB2312" w:eastAsia="仿宋_GB2312" w:cs="仿宋_GB2312"/>
          <w:snapToGrid w:val="0"/>
          <w:kern w:val="0"/>
          <w:sz w:val="32"/>
          <w:szCs w:val="32"/>
          <w:u w:color="FFFFFF" w:themeColor="background1"/>
        </w:rPr>
      </w:pPr>
      <w:r>
        <w:rPr>
          <w:rFonts w:hint="eastAsia" w:ascii="Times New Roman" w:hAnsi="Times New Roman" w:eastAsia="仿宋_GB2312"/>
          <w:color w:val="000000"/>
          <w:kern w:val="0"/>
          <w:sz w:val="32"/>
          <w:szCs w:val="32"/>
          <w:u w:color="FFFFFF" w:themeColor="background1"/>
        </w:rPr>
        <w:t>（4）</w:t>
      </w:r>
      <w:r>
        <w:rPr>
          <w:rFonts w:hint="eastAsia" w:ascii="Times New Roman" w:hAnsi="Times New Roman" w:eastAsia="仿宋_GB2312"/>
          <w:b/>
          <w:color w:val="000000"/>
          <w:kern w:val="0"/>
          <w:sz w:val="32"/>
          <w:szCs w:val="32"/>
          <w:u w:color="FFFFFF" w:themeColor="background1"/>
        </w:rPr>
        <w:t>推动社会组织高质量发展</w:t>
      </w:r>
      <w:r>
        <w:rPr>
          <w:rFonts w:hint="eastAsia" w:ascii="Times New Roman" w:hAnsi="Times New Roman" w:eastAsia="仿宋_GB2312"/>
          <w:color w:val="000000"/>
          <w:kern w:val="0"/>
          <w:sz w:val="32"/>
          <w:szCs w:val="32"/>
          <w:u w:color="FFFFFF" w:themeColor="background1"/>
        </w:rPr>
        <w:t>。加大培育扶持力度，</w:t>
      </w:r>
      <w:r>
        <w:rPr>
          <w:rFonts w:hint="eastAsia" w:ascii="仿宋_GB2312" w:hAnsi="仿宋_GB2312" w:eastAsia="仿宋_GB2312" w:cs="仿宋_GB2312"/>
          <w:snapToGrid w:val="0"/>
          <w:kern w:val="0"/>
          <w:sz w:val="32"/>
          <w:szCs w:val="32"/>
          <w:u w:color="FFFFFF" w:themeColor="background1"/>
        </w:rPr>
        <w:t>评估3A级及以上社会组织100家，实现全市社会组织新增就业岗位4</w:t>
      </w:r>
    </w:p>
    <w:p>
      <w:pPr>
        <w:wordWrap w:val="0"/>
        <w:adjustRightInd w:val="0"/>
        <w:snapToGrid w:val="0"/>
        <w:spacing w:beforeLines="0" w:afterLines="0" w:line="560" w:lineRule="exact"/>
        <w:rPr>
          <w:rFonts w:hint="eastAsia" w:ascii="楷体" w:hAnsi="楷体" w:eastAsia="楷体" w:cs="楷体"/>
          <w:snapToGrid w:val="0"/>
          <w:kern w:val="0"/>
          <w:sz w:val="32"/>
          <w:szCs w:val="32"/>
          <w:u w:color="FFFFFF" w:themeColor="background1"/>
        </w:rPr>
      </w:pPr>
      <w:r>
        <w:rPr>
          <w:rFonts w:hint="eastAsia" w:ascii="仿宋_GB2312" w:hAnsi="仿宋_GB2312" w:eastAsia="仿宋_GB2312" w:cs="仿宋_GB2312"/>
          <w:snapToGrid w:val="0"/>
          <w:kern w:val="0"/>
          <w:sz w:val="32"/>
          <w:szCs w:val="32"/>
          <w:u w:color="FFFFFF" w:themeColor="background1"/>
        </w:rPr>
        <w:t>50个的工作目标。引导社会组织充分发挥作用，联合市乡村振兴局动员200家市、区社会组织实施200个乡村振兴项目。（完成时限：11月底）</w:t>
      </w:r>
    </w:p>
    <w:p>
      <w:pPr>
        <w:wordWrap w:val="0"/>
        <w:adjustRightInd w:val="0"/>
        <w:snapToGrid w:val="0"/>
        <w:spacing w:beforeLines="0" w:afterLines="0" w:line="560" w:lineRule="exact"/>
        <w:ind w:firstLine="640" w:firstLineChars="200"/>
        <w:rPr>
          <w:rFonts w:hint="default" w:ascii="Times New Roman" w:hAnsi="Times New Roman" w:eastAsia="仿宋_GB2312"/>
          <w:color w:val="000000"/>
          <w:kern w:val="0"/>
          <w:sz w:val="32"/>
          <w:szCs w:val="32"/>
          <w:u w:color="FFFFFF" w:themeColor="background1"/>
        </w:rPr>
      </w:pPr>
      <w:r>
        <w:rPr>
          <w:rFonts w:hint="eastAsia" w:ascii="Times New Roman" w:hAnsi="Times New Roman" w:eastAsia="仿宋_GB2312"/>
          <w:color w:val="000000"/>
          <w:kern w:val="0"/>
          <w:sz w:val="32"/>
          <w:szCs w:val="32"/>
          <w:u w:color="FFFFFF" w:themeColor="background1"/>
        </w:rPr>
        <w:t>（5）</w:t>
      </w:r>
      <w:r>
        <w:rPr>
          <w:rFonts w:hint="eastAsia" w:ascii="Times New Roman" w:hAnsi="Times New Roman" w:eastAsia="仿宋_GB2312"/>
          <w:b/>
          <w:color w:val="000000"/>
          <w:kern w:val="0"/>
          <w:sz w:val="32"/>
          <w:szCs w:val="32"/>
          <w:u w:color="FFFFFF" w:themeColor="background1"/>
        </w:rPr>
        <w:t>推动公益慈善事业和社会工作高质量发展</w:t>
      </w:r>
      <w:r>
        <w:rPr>
          <w:rFonts w:hint="eastAsia" w:ascii="Times New Roman" w:hAnsi="Times New Roman" w:eastAsia="仿宋_GB2312"/>
          <w:color w:val="000000"/>
          <w:kern w:val="0"/>
          <w:sz w:val="32"/>
          <w:szCs w:val="32"/>
          <w:u w:color="FFFFFF" w:themeColor="background1"/>
        </w:rPr>
        <w:t>。广泛开展慈善帮扶活动；强化对慈善组织开展活动的事中事后监管；培育和扶持具有鲜明特色和广泛社会影响力的慈善品牌</w:t>
      </w:r>
      <w:r>
        <w:rPr>
          <w:rFonts w:hint="eastAsia" w:ascii="仿宋_GB2312" w:hAnsi="仿宋_GB2312" w:eastAsia="仿宋_GB2312" w:cs="仿宋_GB2312"/>
          <w:snapToGrid w:val="0"/>
          <w:kern w:val="0"/>
          <w:sz w:val="32"/>
          <w:szCs w:val="32"/>
          <w:u w:color="FFFFFF" w:themeColor="background1"/>
        </w:rPr>
        <w:t>。</w:t>
      </w:r>
      <w:r>
        <w:rPr>
          <w:rFonts w:hint="eastAsia" w:ascii="Times New Roman" w:hAnsi="Times New Roman" w:eastAsia="仿宋_GB2312"/>
          <w:color w:val="000000"/>
          <w:kern w:val="0"/>
          <w:sz w:val="32"/>
          <w:szCs w:val="32"/>
          <w:u w:color="FFFFFF" w:themeColor="background1"/>
        </w:rPr>
        <w:t>推进社会工作站高标准全覆盖运行，新建成30个社工站，实现乡镇（街道）社工站全覆盖；加强社工人才培养，社工专业人才达到3000人，每个旗县区至少培育2-3个本地区社工组织。（完成时限：12月底）</w:t>
      </w:r>
    </w:p>
    <w:p>
      <w:pPr>
        <w:pStyle w:val="40"/>
        <w:numPr>
          <w:ilvl w:val="0"/>
          <w:numId w:val="3"/>
        </w:numPr>
        <w:spacing w:beforeLines="0" w:afterLines="0" w:line="560" w:lineRule="exact"/>
        <w:ind w:firstLine="420" w:firstLineChars="0"/>
        <w:rPr>
          <w:rFonts w:hint="default" w:ascii="Times New Roman" w:hAnsi="Times New Roman" w:eastAsia="仿宋_GB2312"/>
          <w:b/>
          <w:color w:val="000000"/>
          <w:kern w:val="0"/>
          <w:sz w:val="32"/>
          <w:szCs w:val="32"/>
          <w:u w:color="FFFFFF" w:themeColor="background1"/>
        </w:rPr>
      </w:pPr>
      <w:r>
        <w:rPr>
          <w:rFonts w:hint="eastAsia" w:ascii="Times New Roman" w:hAnsi="Times New Roman" w:eastAsia="仿宋_GB2312"/>
          <w:b/>
          <w:color w:val="000000"/>
          <w:kern w:val="0"/>
          <w:sz w:val="32"/>
          <w:szCs w:val="32"/>
          <w:u w:color="FFFFFF" w:themeColor="background1"/>
        </w:rPr>
        <w:t>更加精准优质实施民政基本社会服务体系</w:t>
      </w:r>
    </w:p>
    <w:p>
      <w:pPr>
        <w:wordWrap w:val="0"/>
        <w:adjustRightInd w:val="0"/>
        <w:snapToGrid w:val="0"/>
        <w:spacing w:beforeLines="0" w:afterLines="0" w:line="560" w:lineRule="exact"/>
        <w:ind w:firstLine="643" w:firstLineChars="200"/>
        <w:rPr>
          <w:rFonts w:hint="eastAsia" w:ascii="Times New Roman" w:hAnsi="Times New Roman" w:eastAsia="仿宋_GB2312"/>
          <w:color w:val="000000"/>
          <w:kern w:val="0"/>
          <w:sz w:val="32"/>
          <w:szCs w:val="32"/>
          <w:u w:color="FFFFFF" w:themeColor="background1"/>
        </w:rPr>
      </w:pPr>
      <w:r>
        <w:rPr>
          <w:rFonts w:hint="eastAsia" w:ascii="Times New Roman" w:hAnsi="Times New Roman" w:eastAsia="仿宋_GB2312"/>
          <w:b/>
          <w:color w:val="000000"/>
          <w:kern w:val="0"/>
          <w:sz w:val="32"/>
          <w:szCs w:val="32"/>
          <w:u w:color="FFFFFF" w:themeColor="background1"/>
        </w:rPr>
        <w:t>工作目标</w:t>
      </w:r>
      <w:r>
        <w:rPr>
          <w:rFonts w:hint="eastAsia" w:ascii="Times New Roman" w:hAnsi="Times New Roman" w:eastAsia="仿宋_GB2312"/>
          <w:color w:val="000000"/>
          <w:kern w:val="0"/>
          <w:sz w:val="32"/>
          <w:szCs w:val="32"/>
          <w:u w:color="FFFFFF" w:themeColor="background1"/>
        </w:rPr>
        <w:t>：在2022年获批全国居家和社区基本养老服务提升行动项目地区基础上，以养老服务高品质专业化、养老事业智慧网络系统化、养老机构建设标准化、养老人才培育专业化、招商引资品牌化为路径，推动全市养老服务水平再上新台阶。以全国首批未成年人保护示范旗创建为契机，开创未成年人保护工作新局面。深化专项社会事务管理服务。规范做好区划地名相关工作，助力平安边界建设。</w:t>
      </w:r>
    </w:p>
    <w:p>
      <w:pPr>
        <w:wordWrap w:val="0"/>
        <w:adjustRightInd w:val="0"/>
        <w:snapToGrid w:val="0"/>
        <w:spacing w:beforeLines="0" w:afterLines="0" w:line="560" w:lineRule="exact"/>
        <w:ind w:firstLine="643" w:firstLineChars="200"/>
        <w:rPr>
          <w:rFonts w:hint="default"/>
          <w:sz w:val="21"/>
          <w:szCs w:val="24"/>
          <w:u w:color="FFFFFF" w:themeColor="background1"/>
        </w:rPr>
      </w:pPr>
      <w:r>
        <w:rPr>
          <w:rFonts w:hint="eastAsia" w:ascii="Times New Roman" w:hAnsi="Times New Roman" w:eastAsia="仿宋_GB2312"/>
          <w:b/>
          <w:color w:val="000000"/>
          <w:kern w:val="0"/>
          <w:sz w:val="32"/>
          <w:szCs w:val="32"/>
          <w:u w:color="FFFFFF" w:themeColor="background1"/>
        </w:rPr>
        <w:t>工作措施：</w:t>
      </w:r>
    </w:p>
    <w:p>
      <w:pPr>
        <w:pStyle w:val="19"/>
        <w:widowControl/>
        <w:shd w:val="clear" w:color="auto" w:fill="FFFFFF"/>
        <w:spacing w:beforeLines="0" w:beforeAutospacing="0" w:afterLines="0" w:afterAutospacing="0" w:line="560" w:lineRule="exact"/>
        <w:ind w:firstLine="643" w:firstLineChars="200"/>
        <w:jc w:val="both"/>
        <w:rPr>
          <w:rFonts w:hint="eastAsia" w:ascii="仿宋_GB2312" w:hAnsi="仿宋_GB2312" w:eastAsia="仿宋_GB2312" w:cs="仿宋_GB2312"/>
          <w:snapToGrid w:val="0"/>
          <w:sz w:val="32"/>
          <w:szCs w:val="32"/>
          <w:u w:color="FFFFFF" w:themeColor="background1"/>
        </w:rPr>
      </w:pPr>
      <w:r>
        <w:rPr>
          <w:rFonts w:hint="eastAsia" w:ascii="仿宋_GB2312" w:hAnsi="仿宋_GB2312" w:eastAsia="仿宋_GB2312" w:cs="仿宋_GB2312"/>
          <w:b/>
          <w:snapToGrid w:val="0"/>
          <w:sz w:val="32"/>
          <w:szCs w:val="32"/>
          <w:u w:color="FFFFFF" w:themeColor="background1"/>
        </w:rPr>
        <w:t>（1）精准推动居家社区基本养老服务品质化工程</w:t>
      </w:r>
      <w:r>
        <w:rPr>
          <w:rFonts w:hint="eastAsia" w:ascii="仿宋_GB2312" w:hAnsi="仿宋_GB2312" w:eastAsia="仿宋_GB2312" w:cs="仿宋_GB2312"/>
          <w:snapToGrid w:val="0"/>
          <w:sz w:val="32"/>
          <w:szCs w:val="32"/>
          <w:u w:color="FFFFFF" w:themeColor="background1"/>
        </w:rPr>
        <w:t>。养老服务提质增效，精准落实民生实事效果，为1300名困难失能老年人家庭进行适老化改造，建设家庭养老床位;支持养老机构和社会组织将专业照护服务延伸至失能、部分失能老年人家中，开展居家养老上门服务2600人次，有效提升老年人及家属的安全感、幸福感。发挥好市智慧养老服务平台作用，依托“大数据+物联网”助力居家养老质量升级。（完成时限：8月底）</w:t>
      </w:r>
    </w:p>
    <w:p>
      <w:pPr>
        <w:pStyle w:val="19"/>
        <w:widowControl/>
        <w:shd w:val="clear" w:color="auto" w:fill="FFFFFF"/>
        <w:spacing w:beforeLines="0" w:beforeAutospacing="0" w:afterLines="0" w:afterAutospacing="0" w:line="560" w:lineRule="exact"/>
        <w:ind w:firstLine="643" w:firstLineChars="200"/>
        <w:jc w:val="both"/>
        <w:rPr>
          <w:rFonts w:hint="eastAsia" w:ascii="仿宋_GB2312" w:hAnsi="仿宋_GB2312" w:eastAsia="仿宋_GB2312" w:cs="仿宋_GB2312"/>
          <w:snapToGrid w:val="0"/>
          <w:sz w:val="32"/>
          <w:szCs w:val="32"/>
          <w:u w:color="FFFFFF" w:themeColor="background1"/>
        </w:rPr>
      </w:pPr>
      <w:r>
        <w:rPr>
          <w:rFonts w:hint="eastAsia" w:ascii="仿宋_GB2312" w:hAnsi="仿宋_GB2312" w:eastAsia="仿宋_GB2312" w:cs="仿宋_GB2312"/>
          <w:b/>
          <w:snapToGrid w:val="0"/>
          <w:sz w:val="32"/>
          <w:szCs w:val="32"/>
          <w:u w:color="FFFFFF" w:themeColor="background1"/>
        </w:rPr>
        <w:t>（2）全力推动机构养老服务提档升级</w:t>
      </w:r>
      <w:r>
        <w:rPr>
          <w:rFonts w:hint="eastAsia" w:ascii="仿宋_GB2312" w:hAnsi="仿宋_GB2312" w:eastAsia="仿宋_GB2312" w:cs="仿宋_GB2312"/>
          <w:snapToGrid w:val="0"/>
          <w:sz w:val="32"/>
          <w:szCs w:val="32"/>
          <w:u w:color="FFFFFF" w:themeColor="background1"/>
        </w:rPr>
        <w:t>。加快推动养老床位改造升级，护理型床位达到55%以上。通过等级评定和标准化建设，推动养老机构提档升级，全市三星级以上养老机构达到20家以上，50%以上的养老机构制定实施企业标准；30%的养老机构开展辐射周边的居家社区养老服务。开展养老职业技能提升行动，培训养老护理员、养老院院长1200人以上。（完成时限：11月底）</w:t>
      </w:r>
    </w:p>
    <w:p>
      <w:pPr>
        <w:pStyle w:val="19"/>
        <w:widowControl/>
        <w:shd w:val="clear" w:color="auto" w:fill="FFFFFF"/>
        <w:spacing w:beforeLines="0" w:beforeAutospacing="0" w:afterLines="0" w:afterAutospacing="0" w:line="560" w:lineRule="exact"/>
        <w:ind w:firstLine="643" w:firstLineChars="200"/>
        <w:jc w:val="both"/>
        <w:rPr>
          <w:rFonts w:hint="eastAsia" w:ascii="仿宋_GB2312" w:hAnsi="仿宋_GB2312" w:eastAsia="仿宋_GB2312" w:cs="仿宋_GB2312"/>
          <w:snapToGrid w:val="0"/>
          <w:sz w:val="32"/>
          <w:szCs w:val="32"/>
          <w:u w:color="FFFFFF" w:themeColor="background1"/>
        </w:rPr>
      </w:pPr>
      <w:r>
        <w:rPr>
          <w:rFonts w:hint="eastAsia" w:ascii="仿宋_GB2312" w:hAnsi="仿宋_GB2312" w:eastAsia="仿宋_GB2312" w:cs="仿宋_GB2312"/>
          <w:b/>
          <w:snapToGrid w:val="0"/>
          <w:sz w:val="32"/>
          <w:szCs w:val="32"/>
          <w:u w:color="FFFFFF" w:themeColor="background1"/>
        </w:rPr>
        <w:t>（3）整合资源推动农村养老服务提质增效</w:t>
      </w:r>
      <w:r>
        <w:rPr>
          <w:rFonts w:hint="eastAsia" w:ascii="仿宋_GB2312" w:hAnsi="仿宋_GB2312" w:eastAsia="仿宋_GB2312" w:cs="仿宋_GB2312"/>
          <w:snapToGrid w:val="0"/>
          <w:sz w:val="32"/>
          <w:szCs w:val="32"/>
          <w:u w:color="FFFFFF" w:themeColor="background1"/>
        </w:rPr>
        <w:t>。支持九原区、土右旗、达茂旗、固阳县通过敬老院转型升级、公共设施改造等方式，至少建有一所农村养老服务中心，拓展服务内容，形成农村养老服务新模式，着力推广“养老+乡村游+农产品”等多种服务，助力乡村振兴。（完成时限：10月底）</w:t>
      </w:r>
    </w:p>
    <w:p>
      <w:pPr>
        <w:wordWrap w:val="0"/>
        <w:adjustRightInd w:val="0"/>
        <w:snapToGrid w:val="0"/>
        <w:spacing w:beforeLines="0" w:afterLines="0" w:line="560" w:lineRule="exact"/>
        <w:ind w:firstLine="643" w:firstLineChars="200"/>
        <w:rPr>
          <w:rFonts w:hint="eastAsia" w:ascii="楷体" w:hAnsi="楷体" w:eastAsia="楷体" w:cs="楷体"/>
          <w:snapToGrid w:val="0"/>
          <w:kern w:val="0"/>
          <w:sz w:val="32"/>
          <w:szCs w:val="32"/>
          <w:u w:color="FFFFFF" w:themeColor="background1"/>
        </w:rPr>
      </w:pPr>
      <w:r>
        <w:rPr>
          <w:rFonts w:hint="eastAsia" w:ascii="仿宋_GB2312" w:hAnsi="仿宋_GB2312" w:eastAsia="仿宋_GB2312" w:cs="仿宋_GB2312"/>
          <w:b/>
          <w:snapToGrid w:val="0"/>
          <w:kern w:val="0"/>
          <w:sz w:val="32"/>
          <w:szCs w:val="32"/>
          <w:u w:color="FFFFFF" w:themeColor="background1"/>
        </w:rPr>
        <w:t>（4）推动未成年人保护工作高质量发展</w:t>
      </w:r>
      <w:r>
        <w:rPr>
          <w:rFonts w:hint="eastAsia" w:ascii="仿宋_GB2312" w:hAnsi="仿宋_GB2312" w:eastAsia="仿宋_GB2312" w:cs="仿宋_GB2312"/>
          <w:snapToGrid w:val="0"/>
          <w:kern w:val="0"/>
          <w:sz w:val="32"/>
          <w:szCs w:val="32"/>
          <w:u w:color="FFFFFF" w:themeColor="background1"/>
        </w:rPr>
        <w:t>。以未保工作站为重要阵地，实现全市苏木乡镇街道未保站覆盖率达到70%的目标，进一步夯实基层未保工作基础；发挥示范引领作用，各旗县区建成1－2个基础设施完善、制度机制健全、服务管理规范的未保工作示范站。做好困境儿童和事实无人抚养儿童基本生活保障和关爱保护。（完成时限：12月底）</w:t>
      </w:r>
    </w:p>
    <w:p>
      <w:pPr>
        <w:wordWrap w:val="0"/>
        <w:adjustRightInd w:val="0"/>
        <w:snapToGrid w:val="0"/>
        <w:spacing w:beforeLines="0" w:afterLines="0" w:line="560" w:lineRule="exact"/>
        <w:ind w:firstLine="643" w:firstLineChars="200"/>
        <w:rPr>
          <w:rFonts w:hint="eastAsia" w:ascii="仿宋_GB2312" w:hAnsi="仿宋_GB2312" w:eastAsia="仿宋_GB2312" w:cs="仿宋_GB2312"/>
          <w:snapToGrid w:val="0"/>
          <w:kern w:val="0"/>
          <w:sz w:val="32"/>
          <w:szCs w:val="32"/>
          <w:u w:color="FFFFFF" w:themeColor="background1"/>
        </w:rPr>
      </w:pPr>
      <w:r>
        <w:rPr>
          <w:rFonts w:hint="eastAsia" w:ascii="仿宋_GB2312" w:hAnsi="仿宋_GB2312" w:eastAsia="仿宋_GB2312" w:cs="仿宋_GB2312"/>
          <w:b/>
          <w:snapToGrid w:val="0"/>
          <w:kern w:val="0"/>
          <w:sz w:val="32"/>
          <w:szCs w:val="32"/>
          <w:u w:color="FFFFFF" w:themeColor="background1"/>
        </w:rPr>
        <w:t>（5）持续推动殡葬改革、婚俗改革</w:t>
      </w:r>
      <w:r>
        <w:rPr>
          <w:rFonts w:hint="eastAsia" w:ascii="仿宋_GB2312" w:hAnsi="仿宋_GB2312" w:eastAsia="仿宋_GB2312" w:cs="仿宋_GB2312"/>
          <w:snapToGrid w:val="0"/>
          <w:kern w:val="0"/>
          <w:sz w:val="32"/>
          <w:szCs w:val="32"/>
          <w:u w:color="FFFFFF" w:themeColor="background1"/>
        </w:rPr>
        <w:t>。固阳县殡仪馆上半年开工建设；九龙园作为全区生态节地安葬试点新建生态墓葬300穴；建设1处公益性公墓，全市完成80％铁路公路两侧散坟整治的目标任务。青山区婚姻登记服务中心达到国家4A级标准，通过国家婚俗改革实验区终期评估验收。（完成时限：12月底）</w:t>
      </w:r>
    </w:p>
    <w:p>
      <w:pPr>
        <w:wordWrap w:val="0"/>
        <w:adjustRightInd w:val="0"/>
        <w:snapToGrid w:val="0"/>
        <w:spacing w:beforeLines="0" w:afterLines="0" w:line="560" w:lineRule="exact"/>
        <w:ind w:firstLine="643" w:firstLineChars="200"/>
        <w:rPr>
          <w:rFonts w:hint="eastAsia" w:ascii="楷体_GB2312" w:hAnsi="楷体_GB2312" w:eastAsia="楷体_GB2312" w:cs="楷体_GB2312"/>
          <w:snapToGrid w:val="0"/>
          <w:kern w:val="0"/>
          <w:sz w:val="32"/>
          <w:szCs w:val="32"/>
          <w:u w:color="FFFFFF" w:themeColor="background1"/>
          <w:lang w:val="en-US" w:eastAsia="zh-CN"/>
        </w:rPr>
      </w:pPr>
      <w:r>
        <w:rPr>
          <w:rFonts w:hint="eastAsia" w:ascii="仿宋_GB2312" w:hAnsi="仿宋_GB2312" w:eastAsia="仿宋_GB2312" w:cs="仿宋_GB2312"/>
          <w:b/>
          <w:snapToGrid w:val="0"/>
          <w:kern w:val="0"/>
          <w:sz w:val="32"/>
          <w:szCs w:val="32"/>
          <w:u w:color="FFFFFF" w:themeColor="background1"/>
        </w:rPr>
        <w:t>（6）做好行政区划及地名管理工作</w:t>
      </w:r>
      <w:r>
        <w:rPr>
          <w:rFonts w:hint="eastAsia" w:ascii="仿宋_GB2312" w:hAnsi="仿宋_GB2312" w:eastAsia="仿宋_GB2312" w:cs="仿宋_GB2312"/>
          <w:snapToGrid w:val="0"/>
          <w:kern w:val="0"/>
          <w:sz w:val="32"/>
          <w:szCs w:val="32"/>
          <w:u w:color="FFFFFF" w:themeColor="background1"/>
        </w:rPr>
        <w:t>。完成与鄂尔多斯界线联检工作，保持行政区划总体稳定；编印《包头市地名大辞典》，提升平安边界和地名管理质效。（完成时限：11月底）</w:t>
      </w: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color="FFFFFF" w:themeColor="background1"/>
        </w:rPr>
      </w:pPr>
    </w:p>
    <w:p>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color="FFFFFF" w:themeColor="background1"/>
        </w:rPr>
      </w:pPr>
      <w:r>
        <w:rPr>
          <w:rFonts w:hint="eastAsia" w:ascii="方正小标宋简体" w:hAnsi="方正小标宋简体" w:eastAsia="方正小标宋简体" w:cs="方正小标宋简体"/>
          <w:b w:val="0"/>
          <w:bCs w:val="0"/>
          <w:sz w:val="36"/>
          <w:szCs w:val="36"/>
          <w:u w:color="FFFFFF" w:themeColor="background1"/>
        </w:rPr>
        <w:t>第二部分</w:t>
      </w:r>
      <w:r>
        <w:rPr>
          <w:rFonts w:hint="eastAsia" w:ascii="方正小标宋简体" w:hAnsi="方正小标宋简体" w:eastAsia="方正小标宋简体" w:cs="方正小标宋简体"/>
          <w:b w:val="0"/>
          <w:bCs w:val="0"/>
          <w:sz w:val="36"/>
          <w:szCs w:val="36"/>
          <w:u w:color="FFFFFF" w:themeColor="background1"/>
          <w:lang w:val="en-US" w:eastAsia="zh-CN"/>
        </w:rPr>
        <w:t>2023</w:t>
      </w:r>
      <w:r>
        <w:rPr>
          <w:rFonts w:hint="eastAsia" w:ascii="方正小标宋简体" w:hAnsi="方正小标宋简体" w:eastAsia="方正小标宋简体" w:cs="方正小标宋简体"/>
          <w:b w:val="0"/>
          <w:bCs w:val="0"/>
          <w:sz w:val="36"/>
          <w:szCs w:val="36"/>
          <w:u w:color="FFFFFF" w:themeColor="background1"/>
        </w:rPr>
        <w:t>年度单位预算情况说明</w:t>
      </w:r>
    </w:p>
    <w:p>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color="FFFFFF" w:themeColor="background1"/>
        </w:rPr>
      </w:pPr>
    </w:p>
    <w:p>
      <w:pPr>
        <w:pageBreakBefore w:val="0"/>
        <w:kinsoku/>
        <w:wordWrap/>
        <w:overflowPunct/>
        <w:topLinePunct w:val="0"/>
        <w:bidi w:val="0"/>
        <w:spacing w:line="600" w:lineRule="exact"/>
        <w:ind w:firstLine="640" w:firstLineChars="200"/>
        <w:outlineLvl w:val="0"/>
        <w:rPr>
          <w:rFonts w:eastAsia="黑体" w:cs="黑体"/>
          <w:b w:val="0"/>
          <w:bCs w:val="0"/>
          <w:sz w:val="32"/>
          <w:szCs w:val="36"/>
          <w:u w:color="FFFFFF" w:themeColor="background1"/>
        </w:rPr>
      </w:pPr>
      <w:r>
        <w:rPr>
          <w:rFonts w:hint="eastAsia" w:eastAsia="黑体" w:cs="黑体"/>
          <w:b w:val="0"/>
          <w:bCs w:val="0"/>
          <w:sz w:val="32"/>
          <w:szCs w:val="36"/>
          <w:u w:color="FFFFFF" w:themeColor="background1"/>
        </w:rPr>
        <w:t>一、收支预算总体情况说明</w:t>
      </w:r>
    </w:p>
    <w:p>
      <w:pPr>
        <w:pStyle w:val="10"/>
        <w:pageBreakBefore w:val="0"/>
        <w:tabs>
          <w:tab w:val="left" w:pos="5840"/>
          <w:tab w:val="left" w:pos="7858"/>
          <w:tab w:val="left" w:pos="9328"/>
        </w:tabs>
        <w:kinsoku/>
        <w:wordWrap/>
        <w:overflowPunct/>
        <w:topLinePunct w:val="0"/>
        <w:bidi w:val="0"/>
        <w:spacing w:after="0" w:line="600" w:lineRule="exact"/>
        <w:ind w:firstLine="640" w:firstLineChars="200"/>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z w:val="32"/>
          <w:szCs w:val="32"/>
          <w:u w:val="single" w:color="FFFFFF" w:themeColor="background1"/>
          <w:lang w:val="en-US" w:eastAsia="zh-CN"/>
        </w:rPr>
        <w:t>包头市民政局2023</w:t>
      </w:r>
      <w:r>
        <w:rPr>
          <w:rFonts w:hint="eastAsia" w:ascii="仿宋_GB2312" w:hAnsi="仿宋_GB2312" w:eastAsia="仿宋_GB2312" w:cs="仿宋_GB2312"/>
          <w:sz w:val="32"/>
          <w:szCs w:val="32"/>
          <w:u w:color="FFFFFF" w:themeColor="background1"/>
        </w:rPr>
        <w:t>年度收入、支出预算总计</w:t>
      </w:r>
      <w:r>
        <w:rPr>
          <w:rFonts w:hint="eastAsia" w:ascii="仿宋_GB2312" w:hAnsi="仿宋_GB2312" w:eastAsia="仿宋_GB2312" w:cs="仿宋_GB2312"/>
          <w:sz w:val="32"/>
          <w:szCs w:val="32"/>
          <w:u w:val="single" w:color="FFFFFF" w:themeColor="background1"/>
          <w:lang w:val="en-US" w:eastAsia="zh-CN"/>
        </w:rPr>
        <w:t>3025.95</w:t>
      </w:r>
      <w:r>
        <w:rPr>
          <w:rFonts w:hint="eastAsia" w:ascii="仿宋_GB2312" w:hAnsi="仿宋_GB2312" w:eastAsia="仿宋_GB2312" w:cs="仿宋_GB2312"/>
          <w:sz w:val="32"/>
          <w:szCs w:val="32"/>
          <w:u w:color="FFFFFF" w:themeColor="background1"/>
        </w:rPr>
        <w:t>万元，与上年相比收、支预算总计各减少</w:t>
      </w:r>
      <w:r>
        <w:rPr>
          <w:rFonts w:hint="eastAsia" w:ascii="仿宋_GB2312" w:hAnsi="仿宋_GB2312" w:eastAsia="仿宋_GB2312" w:cs="仿宋_GB2312"/>
          <w:sz w:val="32"/>
          <w:szCs w:val="32"/>
          <w:u w:val="single" w:color="FFFFFF" w:themeColor="background1"/>
          <w:lang w:val="en-US" w:eastAsia="zh-CN"/>
        </w:rPr>
        <w:t>824.51</w:t>
      </w:r>
      <w:r>
        <w:rPr>
          <w:rFonts w:hint="eastAsia" w:ascii="仿宋_GB2312" w:hAnsi="仿宋_GB2312" w:eastAsia="仿宋_GB2312" w:cs="仿宋_GB2312"/>
          <w:sz w:val="32"/>
          <w:szCs w:val="32"/>
          <w:u w:color="FFFFFF" w:themeColor="background1"/>
        </w:rPr>
        <w:t>万元，减少</w:t>
      </w:r>
      <w:r>
        <w:rPr>
          <w:rFonts w:hint="eastAsia" w:ascii="仿宋_GB2312" w:hAnsi="仿宋_GB2312" w:eastAsia="仿宋_GB2312" w:cs="仿宋_GB2312"/>
          <w:sz w:val="32"/>
          <w:szCs w:val="32"/>
          <w:u w:val="single" w:color="FFFFFF" w:themeColor="background1"/>
          <w:lang w:val="en-US" w:eastAsia="zh-CN"/>
        </w:rPr>
        <w:t>21.41</w:t>
      </w:r>
      <w:r>
        <w:rPr>
          <w:rFonts w:hint="eastAsia" w:ascii="仿宋_GB2312" w:hAnsi="仿宋_GB2312" w:eastAsia="仿宋_GB2312" w:cs="仿宋_GB2312"/>
          <w:sz w:val="32"/>
          <w:szCs w:val="32"/>
          <w:u w:color="FFFFFF" w:themeColor="background1"/>
        </w:rPr>
        <w:t>%。其中：</w:t>
      </w:r>
    </w:p>
    <w:p>
      <w:pPr>
        <w:pStyle w:val="10"/>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color="FFFFFF" w:themeColor="background1"/>
        </w:rPr>
      </w:pPr>
      <w:r>
        <w:rPr>
          <w:rFonts w:hint="eastAsia" w:ascii="楷体" w:hAnsi="楷体" w:eastAsia="楷体" w:cs="楷体"/>
          <w:b/>
          <w:bCs/>
          <w:sz w:val="32"/>
          <w:szCs w:val="32"/>
          <w:u w:color="FFFFFF" w:themeColor="background1"/>
        </w:rPr>
        <w:t>（一）收入预算总计</w:t>
      </w:r>
      <w:r>
        <w:rPr>
          <w:rFonts w:hint="eastAsia" w:ascii="仿宋" w:hAnsi="仿宋" w:eastAsia="仿宋" w:cs="仿宋"/>
          <w:sz w:val="32"/>
          <w:szCs w:val="32"/>
          <w:u w:val="single" w:color="FFFFFF" w:themeColor="background1"/>
          <w:lang w:val="en-US" w:eastAsia="zh-CN"/>
        </w:rPr>
        <w:t>3025.95</w:t>
      </w:r>
      <w:r>
        <w:rPr>
          <w:rFonts w:hint="eastAsia" w:ascii="楷体" w:hAnsi="楷体" w:eastAsia="楷体" w:cs="楷体"/>
          <w:b/>
          <w:bCs/>
          <w:sz w:val="32"/>
          <w:szCs w:val="32"/>
          <w:u w:color="FFFFFF" w:themeColor="background1"/>
        </w:rPr>
        <w:t>万元。包括：</w:t>
      </w:r>
    </w:p>
    <w:p>
      <w:pPr>
        <w:pStyle w:val="10"/>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1．本年收入合计</w:t>
      </w:r>
      <w:r>
        <w:rPr>
          <w:rFonts w:hint="eastAsia" w:eastAsia="仿宋_GB2312" w:cs="Times New Roman"/>
          <w:sz w:val="32"/>
          <w:szCs w:val="32"/>
          <w:u w:val="single" w:color="FFFFFF" w:themeColor="background1"/>
          <w:lang w:val="en-US" w:eastAsia="zh-CN"/>
        </w:rPr>
        <w:t>2225.95</w:t>
      </w:r>
      <w:r>
        <w:rPr>
          <w:rFonts w:hint="default" w:ascii="Times New Roman" w:hAnsi="Times New Roman" w:eastAsia="仿宋_GB2312" w:cs="Times New Roman"/>
          <w:sz w:val="32"/>
          <w:szCs w:val="32"/>
          <w:u w:color="FFFFFF" w:themeColor="background1"/>
        </w:rPr>
        <w:t>万元。</w:t>
      </w:r>
    </w:p>
    <w:p>
      <w:pPr>
        <w:pStyle w:val="10"/>
        <w:pageBreakBefore w:val="0"/>
        <w:tabs>
          <w:tab w:val="left" w:pos="1389"/>
          <w:tab w:val="left" w:pos="4911"/>
          <w:tab w:val="left" w:pos="589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（1）一般公共预算拨款收入</w:t>
      </w:r>
      <w:r>
        <w:rPr>
          <w:rFonts w:hint="eastAsia" w:eastAsia="仿宋_GB2312" w:cs="Times New Roman"/>
          <w:sz w:val="32"/>
          <w:szCs w:val="32"/>
          <w:u w:val="single" w:color="FFFFFF" w:themeColor="background1"/>
          <w:lang w:val="en-US" w:eastAsia="zh-CN"/>
        </w:rPr>
        <w:t>2225.95</w:t>
      </w:r>
      <w:r>
        <w:rPr>
          <w:rFonts w:hint="default" w:ascii="Times New Roman" w:hAnsi="Times New Roman" w:eastAsia="仿宋_GB2312" w:cs="Times New Roman"/>
          <w:sz w:val="32"/>
          <w:szCs w:val="32"/>
          <w:u w:color="FFFFFF" w:themeColor="background1"/>
        </w:rPr>
        <w:t>万元，与上年相比增加</w:t>
      </w:r>
      <w:r>
        <w:rPr>
          <w:rFonts w:hint="eastAsia" w:eastAsia="仿宋_GB2312" w:cs="Times New Roman"/>
          <w:sz w:val="32"/>
          <w:szCs w:val="32"/>
          <w:u w:color="FFFFFF" w:themeColor="background1"/>
          <w:lang w:val="en-US" w:eastAsia="zh-CN"/>
        </w:rPr>
        <w:t>43.57</w:t>
      </w:r>
      <w:r>
        <w:rPr>
          <w:rFonts w:hint="default" w:ascii="Times New Roman" w:hAnsi="Times New Roman" w:eastAsia="仿宋_GB2312" w:cs="Times New Roman"/>
          <w:sz w:val="32"/>
          <w:szCs w:val="32"/>
          <w:u w:color="FFFFFF" w:themeColor="background1"/>
        </w:rPr>
        <w:t>万元，增长</w:t>
      </w:r>
      <w:r>
        <w:rPr>
          <w:rFonts w:hint="eastAsia" w:eastAsia="仿宋_GB2312" w:cs="Times New Roman"/>
          <w:sz w:val="32"/>
          <w:szCs w:val="32"/>
          <w:u w:color="FFFFFF" w:themeColor="background1"/>
          <w:lang w:val="en-US" w:eastAsia="zh-CN"/>
        </w:rPr>
        <w:t>1.99</w:t>
      </w:r>
      <w:r>
        <w:rPr>
          <w:rFonts w:hint="default" w:ascii="Times New Roman" w:hAnsi="Times New Roman" w:eastAsia="仿宋_GB2312" w:cs="Times New Roman"/>
          <w:sz w:val="32"/>
          <w:szCs w:val="32"/>
          <w:u w:color="FFFFFF" w:themeColor="background1"/>
        </w:rPr>
        <w:t>%。主要原因是</w:t>
      </w:r>
      <w:r>
        <w:rPr>
          <w:rFonts w:hint="eastAsia" w:eastAsia="仿宋_GB2312" w:cs="Times New Roman"/>
          <w:sz w:val="32"/>
          <w:szCs w:val="32"/>
          <w:u w:color="FFFFFF" w:themeColor="background1"/>
          <w:lang w:val="en-US" w:eastAsia="zh-CN"/>
        </w:rPr>
        <w:t>新考录人员增加</w:t>
      </w:r>
      <w:r>
        <w:rPr>
          <w:rFonts w:hint="default" w:ascii="Times New Roman" w:hAnsi="Times New Roman" w:eastAsia="仿宋_GB2312" w:cs="Times New Roman"/>
          <w:sz w:val="32"/>
          <w:szCs w:val="32"/>
          <w:u w:color="FFFFFF" w:themeColor="background1"/>
        </w:rPr>
        <w:t>。</w:t>
      </w:r>
    </w:p>
    <w:p>
      <w:pPr>
        <w:pStyle w:val="10"/>
        <w:pageBreakBefore w:val="0"/>
        <w:tabs>
          <w:tab w:val="left" w:pos="1389"/>
          <w:tab w:val="left" w:pos="4911"/>
          <w:tab w:val="left" w:pos="5991"/>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（2）政府性基金预算拨款收入</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万元，增</w:t>
      </w:r>
      <w:r>
        <w:rPr>
          <w:rFonts w:hint="eastAsia" w:ascii="仿宋_GB2312" w:hAnsi="仿宋_GB2312" w:eastAsia="仿宋_GB2312" w:cs="仿宋_GB2312"/>
          <w:sz w:val="32"/>
          <w:szCs w:val="32"/>
          <w:u w:val="none" w:color="FFFFFF" w:themeColor="background1"/>
          <w:lang w:val="en-US" w:eastAsia="zh-CN"/>
        </w:rPr>
        <w:t>加0</w:t>
      </w:r>
      <w:r>
        <w:rPr>
          <w:rFonts w:hint="eastAsia" w:ascii="仿宋_GB2312" w:hAnsi="仿宋_GB2312" w:eastAsia="仿宋_GB2312" w:cs="仿宋_GB2312"/>
          <w:sz w:val="32"/>
          <w:szCs w:val="32"/>
          <w:u w:val="none" w:color="FFFFFF" w:themeColor="background1"/>
        </w:rPr>
        <w:t>%。主要原因是</w:t>
      </w:r>
      <w:r>
        <w:rPr>
          <w:rFonts w:hint="eastAsia" w:ascii="仿宋_GB2312" w:hAnsi="仿宋_GB2312" w:eastAsia="仿宋_GB2312" w:cs="仿宋_GB2312"/>
          <w:sz w:val="32"/>
          <w:szCs w:val="32"/>
          <w:u w:val="none" w:color="FFFFFF" w:themeColor="background1"/>
          <w:lang w:val="en-US" w:eastAsia="zh-CN"/>
        </w:rPr>
        <w:t>不存在此项内容</w:t>
      </w:r>
      <w:r>
        <w:rPr>
          <w:rFonts w:hint="eastAsia" w:ascii="仿宋_GB2312" w:hAnsi="仿宋_GB2312" w:eastAsia="仿宋_GB2312" w:cs="仿宋_GB2312"/>
          <w:sz w:val="32"/>
          <w:szCs w:val="32"/>
          <w:u w:val="none" w:color="FFFFFF" w:themeColor="background1"/>
        </w:rPr>
        <w:t>。</w:t>
      </w:r>
    </w:p>
    <w:p>
      <w:pPr>
        <w:pStyle w:val="10"/>
        <w:pageBreakBefore w:val="0"/>
        <w:tabs>
          <w:tab w:val="left" w:pos="1389"/>
          <w:tab w:val="left" w:pos="4911"/>
          <w:tab w:val="left" w:pos="6205"/>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（3）国有资本经营预算拨款收入</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 xml:space="preserve"> 0</w:t>
      </w:r>
      <w:r>
        <w:rPr>
          <w:rFonts w:hint="eastAsia" w:ascii="仿宋_GB2312" w:hAnsi="仿宋_GB2312" w:eastAsia="仿宋_GB2312" w:cs="仿宋_GB2312"/>
          <w:sz w:val="32"/>
          <w:szCs w:val="32"/>
          <w:u w:val="none" w:color="FFFFFF" w:themeColor="background1"/>
        </w:rPr>
        <w:t xml:space="preserve"> 万元，增长</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%。主要原因是</w:t>
      </w:r>
      <w:r>
        <w:rPr>
          <w:rFonts w:hint="eastAsia" w:ascii="仿宋_GB2312" w:hAnsi="仿宋_GB2312" w:eastAsia="仿宋_GB2312" w:cs="仿宋_GB2312"/>
          <w:sz w:val="32"/>
          <w:szCs w:val="32"/>
          <w:u w:val="none" w:color="FFFFFF" w:themeColor="background1"/>
          <w:lang w:val="en-US" w:eastAsia="zh-CN"/>
        </w:rPr>
        <w:t>不存在此项内容</w:t>
      </w:r>
      <w:r>
        <w:rPr>
          <w:rFonts w:hint="eastAsia" w:ascii="仿宋_GB2312" w:hAnsi="仿宋_GB2312" w:eastAsia="仿宋_GB2312" w:cs="仿宋_GB2312"/>
          <w:sz w:val="32"/>
          <w:szCs w:val="32"/>
          <w:u w:val="none" w:color="FFFFFF" w:themeColor="background1"/>
        </w:rPr>
        <w:t>。</w:t>
      </w:r>
    </w:p>
    <w:p>
      <w:pPr>
        <w:pStyle w:val="10"/>
        <w:pageBreakBefore w:val="0"/>
        <w:tabs>
          <w:tab w:val="left" w:pos="1389"/>
          <w:tab w:val="left" w:pos="4911"/>
          <w:tab w:val="left" w:pos="5898"/>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（4）财政专户管理资金收入</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万元，增长</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%。主要原因是</w:t>
      </w:r>
      <w:r>
        <w:rPr>
          <w:rFonts w:hint="eastAsia" w:ascii="仿宋_GB2312" w:hAnsi="仿宋_GB2312" w:eastAsia="仿宋_GB2312" w:cs="仿宋_GB2312"/>
          <w:sz w:val="32"/>
          <w:szCs w:val="32"/>
          <w:u w:val="none" w:color="FFFFFF" w:themeColor="background1"/>
          <w:lang w:val="en-US" w:eastAsia="zh-CN"/>
        </w:rPr>
        <w:t>不存在此项内容</w:t>
      </w:r>
      <w:r>
        <w:rPr>
          <w:rFonts w:hint="eastAsia" w:ascii="仿宋_GB2312" w:hAnsi="仿宋_GB2312" w:eastAsia="仿宋_GB2312" w:cs="仿宋_GB2312"/>
          <w:sz w:val="32"/>
          <w:szCs w:val="32"/>
          <w:u w:val="none" w:color="FFFFFF" w:themeColor="background1"/>
        </w:rPr>
        <w:t>。</w:t>
      </w:r>
    </w:p>
    <w:p>
      <w:pPr>
        <w:pStyle w:val="10"/>
        <w:pageBreakBefore w:val="0"/>
        <w:tabs>
          <w:tab w:val="left" w:pos="3310"/>
          <w:tab w:val="left" w:pos="3807"/>
          <w:tab w:val="left" w:pos="9433"/>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（5）事业收入</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万元，增</w:t>
      </w:r>
      <w:r>
        <w:rPr>
          <w:rFonts w:hint="eastAsia" w:ascii="仿宋_GB2312" w:hAnsi="仿宋_GB2312" w:eastAsia="仿宋_GB2312" w:cs="仿宋_GB2312"/>
          <w:sz w:val="32"/>
          <w:szCs w:val="32"/>
          <w:u w:val="none" w:color="FFFFFF" w:themeColor="background1"/>
          <w:lang w:val="en-US" w:eastAsia="zh-CN"/>
        </w:rPr>
        <w:t>长0</w:t>
      </w:r>
      <w:r>
        <w:rPr>
          <w:rFonts w:hint="eastAsia" w:ascii="仿宋_GB2312" w:hAnsi="仿宋_GB2312" w:eastAsia="仿宋_GB2312" w:cs="仿宋_GB2312"/>
          <w:sz w:val="32"/>
          <w:szCs w:val="32"/>
          <w:u w:val="none" w:color="FFFFFF" w:themeColor="background1"/>
        </w:rPr>
        <w:t xml:space="preserve"> %。主要原因是</w:t>
      </w:r>
      <w:r>
        <w:rPr>
          <w:rFonts w:hint="eastAsia" w:ascii="仿宋_GB2312" w:hAnsi="仿宋_GB2312" w:eastAsia="仿宋_GB2312" w:cs="仿宋_GB2312"/>
          <w:sz w:val="32"/>
          <w:szCs w:val="32"/>
          <w:u w:val="none" w:color="FFFFFF" w:themeColor="background1"/>
          <w:lang w:val="en-US" w:eastAsia="zh-CN"/>
        </w:rPr>
        <w:t>不存在此项内容</w:t>
      </w:r>
      <w:r>
        <w:rPr>
          <w:rFonts w:hint="eastAsia" w:ascii="仿宋_GB2312" w:hAnsi="仿宋_GB2312" w:eastAsia="仿宋_GB2312" w:cs="仿宋_GB2312"/>
          <w:sz w:val="32"/>
          <w:szCs w:val="32"/>
          <w:u w:val="none" w:color="FFFFFF" w:themeColor="background1"/>
        </w:rPr>
        <w:t>。</w:t>
      </w:r>
    </w:p>
    <w:p>
      <w:pPr>
        <w:pStyle w:val="10"/>
        <w:pageBreakBefore w:val="0"/>
        <w:tabs>
          <w:tab w:val="left" w:pos="1389"/>
          <w:tab w:val="left" w:pos="4911"/>
          <w:tab w:val="left" w:pos="5900"/>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（6）事业单位经营收入</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万元，增长</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%。主要原因是</w:t>
      </w:r>
      <w:r>
        <w:rPr>
          <w:rFonts w:hint="eastAsia" w:ascii="仿宋_GB2312" w:hAnsi="仿宋_GB2312" w:eastAsia="仿宋_GB2312" w:cs="仿宋_GB2312"/>
          <w:sz w:val="32"/>
          <w:szCs w:val="32"/>
          <w:u w:val="none" w:color="FFFFFF" w:themeColor="background1"/>
          <w:lang w:val="en-US" w:eastAsia="zh-CN"/>
        </w:rPr>
        <w:t>不存在此项内容</w:t>
      </w:r>
      <w:r>
        <w:rPr>
          <w:rFonts w:hint="eastAsia" w:ascii="仿宋_GB2312" w:hAnsi="仿宋_GB2312" w:eastAsia="仿宋_GB2312" w:cs="仿宋_GB2312"/>
          <w:sz w:val="32"/>
          <w:szCs w:val="32"/>
          <w:u w:val="none" w:color="FFFFFF" w:themeColor="background1"/>
        </w:rPr>
        <w:t>。</w:t>
      </w:r>
    </w:p>
    <w:p>
      <w:pPr>
        <w:pStyle w:val="10"/>
        <w:pageBreakBefore w:val="0"/>
        <w:tabs>
          <w:tab w:val="left" w:pos="4320"/>
          <w:tab w:val="left" w:pos="9433"/>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（7）上级补助收入</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0万</w:t>
      </w:r>
      <w:r>
        <w:rPr>
          <w:rFonts w:hint="eastAsia" w:ascii="仿宋_GB2312" w:hAnsi="仿宋_GB2312" w:eastAsia="仿宋_GB2312" w:cs="仿宋_GB2312"/>
          <w:sz w:val="32"/>
          <w:szCs w:val="32"/>
          <w:u w:val="none" w:color="FFFFFF" w:themeColor="background1"/>
        </w:rPr>
        <w:t>元，增长</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%。主要原因是</w:t>
      </w:r>
      <w:r>
        <w:rPr>
          <w:rFonts w:hint="eastAsia" w:ascii="仿宋_GB2312" w:hAnsi="仿宋_GB2312" w:eastAsia="仿宋_GB2312" w:cs="仿宋_GB2312"/>
          <w:sz w:val="32"/>
          <w:szCs w:val="32"/>
          <w:u w:val="none" w:color="FFFFFF" w:themeColor="background1"/>
          <w:lang w:val="en-US" w:eastAsia="zh-CN"/>
        </w:rPr>
        <w:t>不存在此项内容</w:t>
      </w:r>
      <w:r>
        <w:rPr>
          <w:rFonts w:hint="eastAsia" w:ascii="仿宋_GB2312" w:hAnsi="仿宋_GB2312" w:eastAsia="仿宋_GB2312" w:cs="仿宋_GB2312"/>
          <w:sz w:val="32"/>
          <w:szCs w:val="32"/>
          <w:u w:val="none" w:color="FFFFFF" w:themeColor="background1"/>
        </w:rPr>
        <w:t>。</w:t>
      </w:r>
    </w:p>
    <w:p>
      <w:pPr>
        <w:pStyle w:val="10"/>
        <w:pageBreakBefore w:val="0"/>
        <w:tabs>
          <w:tab w:val="left" w:pos="1389"/>
          <w:tab w:val="left" w:pos="4911"/>
          <w:tab w:val="left" w:pos="5900"/>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（8）附属单位上缴收入</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万元，增长</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%。主要原因是</w:t>
      </w:r>
      <w:r>
        <w:rPr>
          <w:rFonts w:hint="eastAsia" w:ascii="仿宋_GB2312" w:hAnsi="仿宋_GB2312" w:eastAsia="仿宋_GB2312" w:cs="仿宋_GB2312"/>
          <w:sz w:val="32"/>
          <w:szCs w:val="32"/>
          <w:u w:val="none" w:color="FFFFFF" w:themeColor="background1"/>
          <w:lang w:val="en-US" w:eastAsia="zh-CN"/>
        </w:rPr>
        <w:t>不存在此项内容</w:t>
      </w:r>
      <w:r>
        <w:rPr>
          <w:rFonts w:hint="eastAsia" w:ascii="仿宋_GB2312" w:hAnsi="仿宋_GB2312" w:eastAsia="仿宋_GB2312" w:cs="仿宋_GB2312"/>
          <w:sz w:val="32"/>
          <w:szCs w:val="32"/>
          <w:u w:val="none" w:color="FFFFFF" w:themeColor="background1"/>
        </w:rPr>
        <w:t>。</w:t>
      </w:r>
    </w:p>
    <w:p>
      <w:pPr>
        <w:pStyle w:val="10"/>
        <w:pageBreakBefore w:val="0"/>
        <w:tabs>
          <w:tab w:val="left" w:pos="3310"/>
          <w:tab w:val="left" w:pos="4121"/>
          <w:tab w:val="left" w:pos="9431"/>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（9）其他收入</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万元，增长</w:t>
      </w:r>
      <w:r>
        <w:rPr>
          <w:rFonts w:hint="eastAsia" w:ascii="仿宋_GB2312" w:hAnsi="仿宋_GB2312" w:eastAsia="仿宋_GB2312" w:cs="仿宋_GB2312"/>
          <w:sz w:val="32"/>
          <w:szCs w:val="32"/>
          <w:u w:val="none" w:color="FFFFFF" w:themeColor="background1"/>
          <w:lang w:val="en-US" w:eastAsia="zh-CN"/>
        </w:rPr>
        <w:t>0</w:t>
      </w:r>
      <w:r>
        <w:rPr>
          <w:rFonts w:hint="eastAsia" w:ascii="仿宋_GB2312" w:hAnsi="仿宋_GB2312" w:eastAsia="仿宋_GB2312" w:cs="仿宋_GB2312"/>
          <w:sz w:val="32"/>
          <w:szCs w:val="32"/>
          <w:u w:val="none" w:color="FFFFFF" w:themeColor="background1"/>
        </w:rPr>
        <w:t>%。主要原因是</w:t>
      </w:r>
      <w:r>
        <w:rPr>
          <w:rFonts w:hint="eastAsia" w:ascii="仿宋_GB2312" w:hAnsi="仿宋_GB2312" w:eastAsia="仿宋_GB2312" w:cs="仿宋_GB2312"/>
          <w:sz w:val="32"/>
          <w:szCs w:val="32"/>
          <w:u w:val="none" w:color="FFFFFF" w:themeColor="background1"/>
          <w:lang w:val="en-US" w:eastAsia="zh-CN"/>
        </w:rPr>
        <w:t>不存在此项内容</w:t>
      </w:r>
      <w:r>
        <w:rPr>
          <w:rFonts w:hint="eastAsia" w:ascii="仿宋_GB2312" w:hAnsi="仿宋_GB2312" w:eastAsia="仿宋_GB2312" w:cs="仿宋_GB2312"/>
          <w:sz w:val="32"/>
          <w:szCs w:val="32"/>
          <w:u w:val="none" w:color="FFFFFF" w:themeColor="background1"/>
        </w:rPr>
        <w:t>。</w:t>
      </w:r>
    </w:p>
    <w:p>
      <w:pPr>
        <w:pStyle w:val="10"/>
        <w:pageBreakBefore w:val="0"/>
        <w:tabs>
          <w:tab w:val="left" w:pos="3310"/>
          <w:tab w:val="left" w:pos="4280"/>
          <w:tab w:val="left" w:pos="943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2．上年结转结余为</w:t>
      </w:r>
      <w:r>
        <w:rPr>
          <w:rFonts w:hint="eastAsia" w:eastAsia="仿宋_GB2312" w:cs="Times New Roman"/>
          <w:sz w:val="32"/>
          <w:szCs w:val="32"/>
          <w:u w:val="single" w:color="FFFFFF" w:themeColor="background1"/>
          <w:lang w:val="en-US" w:eastAsia="zh-CN"/>
        </w:rPr>
        <w:t>800</w:t>
      </w:r>
      <w:r>
        <w:rPr>
          <w:rFonts w:hint="default" w:ascii="Times New Roman" w:hAnsi="Times New Roman" w:eastAsia="仿宋_GB2312" w:cs="Times New Roman"/>
          <w:sz w:val="32"/>
          <w:szCs w:val="32"/>
          <w:u w:color="FFFFFF" w:themeColor="background1"/>
        </w:rPr>
        <w:t>万元。与上年相比</w:t>
      </w:r>
      <w:r>
        <w:rPr>
          <w:rFonts w:hint="eastAsia" w:eastAsia="仿宋_GB2312" w:cs="Times New Roman"/>
          <w:sz w:val="32"/>
          <w:szCs w:val="32"/>
          <w:u w:color="FFFFFF" w:themeColor="background1"/>
          <w:lang w:val="en-US" w:eastAsia="zh-CN"/>
        </w:rPr>
        <w:t>减少868.08</w:t>
      </w:r>
      <w:r>
        <w:rPr>
          <w:rFonts w:hint="default" w:ascii="Times New Roman" w:hAnsi="Times New Roman" w:eastAsia="仿宋_GB2312" w:cs="Times New Roman"/>
          <w:sz w:val="32"/>
          <w:szCs w:val="32"/>
          <w:u w:color="FFFFFF" w:themeColor="background1"/>
        </w:rPr>
        <w:t>万元，</w:t>
      </w:r>
      <w:r>
        <w:rPr>
          <w:rFonts w:hint="eastAsia" w:eastAsia="仿宋_GB2312" w:cs="Times New Roman"/>
          <w:sz w:val="32"/>
          <w:szCs w:val="32"/>
          <w:u w:color="FFFFFF" w:themeColor="background1"/>
          <w:lang w:val="en-US" w:eastAsia="zh-CN"/>
        </w:rPr>
        <w:t>减少52.04%</w:t>
      </w:r>
      <w:r>
        <w:rPr>
          <w:rFonts w:hint="default" w:ascii="Times New Roman" w:hAnsi="Times New Roman" w:eastAsia="仿宋_GB2312" w:cs="Times New Roman"/>
          <w:sz w:val="32"/>
          <w:szCs w:val="32"/>
          <w:u w:color="FFFFFF" w:themeColor="background1"/>
        </w:rPr>
        <w:t>。主要原因是</w:t>
      </w:r>
      <w:r>
        <w:rPr>
          <w:rFonts w:hint="eastAsia" w:eastAsia="仿宋_GB2312" w:cs="Times New Roman"/>
          <w:sz w:val="32"/>
          <w:szCs w:val="32"/>
          <w:u w:color="FFFFFF" w:themeColor="background1"/>
          <w:lang w:val="en-US" w:eastAsia="zh-CN"/>
        </w:rPr>
        <w:t>本年减少结转结余</w:t>
      </w:r>
      <w:r>
        <w:rPr>
          <w:rFonts w:hint="default" w:ascii="Times New Roman" w:hAnsi="Times New Roman" w:eastAsia="仿宋_GB2312" w:cs="Times New Roman"/>
          <w:sz w:val="32"/>
          <w:szCs w:val="32"/>
          <w:u w:color="FFFFFF" w:themeColor="background1"/>
        </w:rPr>
        <w:t>。</w:t>
      </w:r>
    </w:p>
    <w:p>
      <w:pPr>
        <w:pStyle w:val="10"/>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color="FFFFFF" w:themeColor="background1"/>
        </w:rPr>
      </w:pPr>
      <w:r>
        <w:rPr>
          <w:rFonts w:hint="eastAsia" w:ascii="楷体" w:hAnsi="楷体" w:eastAsia="楷体" w:cs="楷体"/>
          <w:b/>
          <w:bCs/>
          <w:sz w:val="32"/>
          <w:szCs w:val="32"/>
          <w:u w:color="FFFFFF" w:themeColor="background1"/>
        </w:rPr>
        <w:t>（二）支出预算总计</w:t>
      </w:r>
      <w:r>
        <w:rPr>
          <w:rFonts w:hint="eastAsia" w:ascii="仿宋" w:hAnsi="仿宋" w:eastAsia="仿宋" w:cs="仿宋"/>
          <w:sz w:val="32"/>
          <w:szCs w:val="32"/>
          <w:u w:val="single" w:color="FFFFFF" w:themeColor="background1"/>
          <w:lang w:val="en-US" w:eastAsia="zh-CN"/>
        </w:rPr>
        <w:t>3025.95</w:t>
      </w:r>
      <w:r>
        <w:rPr>
          <w:rFonts w:hint="eastAsia" w:ascii="楷体" w:hAnsi="楷体" w:eastAsia="楷体" w:cs="楷体"/>
          <w:b/>
          <w:bCs/>
          <w:sz w:val="32"/>
          <w:szCs w:val="32"/>
          <w:u w:color="FFFFFF" w:themeColor="background1"/>
        </w:rPr>
        <w:t>万元。包括：</w:t>
      </w:r>
    </w:p>
    <w:p>
      <w:pPr>
        <w:pStyle w:val="10"/>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1．本年支出合计</w:t>
      </w:r>
      <w:r>
        <w:rPr>
          <w:rFonts w:hint="eastAsia" w:eastAsia="仿宋_GB2312" w:cs="Times New Roman"/>
          <w:sz w:val="32"/>
          <w:szCs w:val="32"/>
          <w:u w:val="single" w:color="FFFFFF" w:themeColor="background1"/>
          <w:lang w:val="en-US" w:eastAsia="zh-CN"/>
        </w:rPr>
        <w:t>3025.95</w:t>
      </w:r>
      <w:r>
        <w:rPr>
          <w:rFonts w:hint="default" w:ascii="Times New Roman" w:hAnsi="Times New Roman" w:eastAsia="仿宋_GB2312" w:cs="Times New Roman"/>
          <w:sz w:val="32"/>
          <w:szCs w:val="32"/>
          <w:u w:color="FFFFFF" w:themeColor="background1"/>
        </w:rPr>
        <w:t>万元。</w:t>
      </w:r>
    </w:p>
    <w:p>
      <w:pPr>
        <w:keepNext w:val="0"/>
        <w:keepLines w:val="0"/>
        <w:pageBreakBefore w:val="0"/>
        <w:widowControl/>
        <w:kinsoku/>
        <w:wordWrap/>
        <w:overflowPunct/>
        <w:topLinePunct w:val="0"/>
        <w:autoSpaceDE/>
        <w:autoSpaceDN/>
        <w:bidi w:val="0"/>
        <w:adjustRightInd w:val="0"/>
        <w:snapToGrid w:val="0"/>
        <w:spacing w:line="570" w:lineRule="exact"/>
        <w:ind w:firstLine="64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rPr>
        <w:t>（1）</w:t>
      </w:r>
      <w:r>
        <w:rPr>
          <w:rFonts w:hint="eastAsia" w:ascii="仿宋_GB2312" w:hAnsi="仿宋_GB2312" w:eastAsia="仿宋_GB2312" w:cs="仿宋_GB2312"/>
          <w:b w:val="0"/>
          <w:bCs/>
          <w:sz w:val="32"/>
          <w:szCs w:val="32"/>
          <w:u w:val="none" w:color="FFFFFF" w:themeColor="background1"/>
        </w:rPr>
        <w:t>社会保障和就业</w:t>
      </w:r>
      <w:r>
        <w:rPr>
          <w:rFonts w:hint="eastAsia" w:ascii="仿宋_GB2312" w:hAnsi="仿宋_GB2312" w:eastAsia="仿宋_GB2312" w:cs="仿宋_GB2312"/>
          <w:sz w:val="32"/>
          <w:szCs w:val="32"/>
          <w:u w:val="none" w:color="FFFFFF" w:themeColor="background1"/>
        </w:rPr>
        <w:t>（类）支出</w:t>
      </w:r>
      <w:r>
        <w:rPr>
          <w:rFonts w:hint="eastAsia" w:ascii="仿宋_GB2312" w:hAnsi="仿宋_GB2312" w:eastAsia="仿宋_GB2312" w:cs="仿宋_GB2312"/>
          <w:b w:val="0"/>
          <w:bCs/>
          <w:sz w:val="32"/>
          <w:szCs w:val="32"/>
          <w:u w:val="none" w:color="FFFFFF" w:themeColor="background1"/>
          <w:lang w:val="en-US" w:eastAsia="zh-CN"/>
        </w:rPr>
        <w:t>2149.26</w:t>
      </w:r>
      <w:r>
        <w:rPr>
          <w:rFonts w:hint="eastAsia" w:ascii="仿宋_GB2312" w:hAnsi="仿宋_GB2312" w:eastAsia="仿宋_GB2312" w:cs="仿宋_GB2312"/>
          <w:sz w:val="32"/>
          <w:szCs w:val="32"/>
          <w:u w:val="none" w:color="FFFFFF" w:themeColor="background1"/>
        </w:rPr>
        <w:t>万元，主要用于</w:t>
      </w:r>
      <w:r>
        <w:rPr>
          <w:rFonts w:hint="eastAsia" w:ascii="仿宋_GB2312" w:hAnsi="仿宋_GB2312" w:eastAsia="仿宋_GB2312" w:cs="仿宋_GB2312"/>
          <w:sz w:val="32"/>
          <w:szCs w:val="32"/>
          <w:u w:val="none" w:color="FFFFFF" w:themeColor="background1"/>
          <w:lang w:eastAsia="zh-CN"/>
        </w:rPr>
        <w:t>各个专项经费的支出</w:t>
      </w:r>
      <w:r>
        <w:rPr>
          <w:rFonts w:hint="eastAsia" w:ascii="仿宋_GB2312" w:hAnsi="仿宋_GB2312" w:eastAsia="仿宋_GB2312" w:cs="仿宋_GB2312"/>
          <w:sz w:val="32"/>
          <w:szCs w:val="32"/>
          <w:u w:val="none" w:color="FFFFFF" w:themeColor="background1"/>
        </w:rPr>
        <w:t>。与上年相比</w:t>
      </w:r>
      <w:r>
        <w:rPr>
          <w:rFonts w:hint="eastAsia" w:ascii="仿宋_GB2312" w:hAnsi="仿宋_GB2312" w:eastAsia="仿宋_GB2312" w:cs="仿宋_GB2312"/>
          <w:sz w:val="32"/>
          <w:szCs w:val="32"/>
          <w:u w:val="none" w:color="FFFFFF" w:themeColor="background1"/>
          <w:lang w:val="en-US" w:eastAsia="zh-CN"/>
        </w:rPr>
        <w:t>减少</w:t>
      </w:r>
      <w:r>
        <w:rPr>
          <w:rFonts w:hint="eastAsia" w:ascii="仿宋_GB2312" w:hAnsi="仿宋_GB2312" w:eastAsia="仿宋_GB2312" w:cs="仿宋_GB2312"/>
          <w:sz w:val="32"/>
          <w:szCs w:val="32"/>
          <w:highlight w:val="none"/>
          <w:u w:val="none" w:color="FFFFFF" w:themeColor="background1"/>
          <w:lang w:val="en-US" w:eastAsia="zh-CN"/>
        </w:rPr>
        <w:t>1613.79</w:t>
      </w:r>
      <w:r>
        <w:rPr>
          <w:rFonts w:hint="eastAsia" w:ascii="仿宋_GB2312" w:hAnsi="仿宋_GB2312" w:eastAsia="仿宋_GB2312" w:cs="仿宋_GB2312"/>
          <w:sz w:val="32"/>
          <w:szCs w:val="32"/>
          <w:highlight w:val="none"/>
          <w:u w:val="none" w:color="FFFFFF" w:themeColor="background1"/>
        </w:rPr>
        <w:t>万元，</w:t>
      </w:r>
      <w:r>
        <w:rPr>
          <w:rFonts w:hint="eastAsia" w:ascii="仿宋_GB2312" w:hAnsi="仿宋_GB2312" w:eastAsia="仿宋_GB2312" w:cs="仿宋_GB2312"/>
          <w:sz w:val="32"/>
          <w:szCs w:val="32"/>
          <w:highlight w:val="none"/>
          <w:u w:val="none" w:color="FFFFFF" w:themeColor="background1"/>
          <w:lang w:val="en-US" w:eastAsia="zh-CN"/>
        </w:rPr>
        <w:t>减少42.89</w:t>
      </w:r>
      <w:r>
        <w:rPr>
          <w:rFonts w:hint="eastAsia" w:ascii="仿宋_GB2312" w:hAnsi="仿宋_GB2312" w:eastAsia="仿宋_GB2312" w:cs="仿宋_GB2312"/>
          <w:sz w:val="32"/>
          <w:szCs w:val="32"/>
          <w:highlight w:val="none"/>
          <w:u w:val="none" w:color="FFFFFF" w:themeColor="background1"/>
        </w:rPr>
        <w:t>%。</w:t>
      </w:r>
      <w:r>
        <w:rPr>
          <w:rFonts w:hint="eastAsia" w:ascii="仿宋_GB2312" w:hAnsi="仿宋_GB2312" w:eastAsia="仿宋_GB2312" w:cs="仿宋_GB2312"/>
          <w:sz w:val="32"/>
          <w:szCs w:val="32"/>
          <w:u w:val="none" w:color="FFFFFF" w:themeColor="background1"/>
        </w:rPr>
        <w:t>主要原因是</w:t>
      </w:r>
      <w:r>
        <w:rPr>
          <w:rFonts w:hint="eastAsia" w:eastAsia="仿宋_GB2312" w:cs="Times New Roman"/>
          <w:sz w:val="32"/>
          <w:szCs w:val="32"/>
          <w:u w:color="FFFFFF" w:themeColor="background1"/>
          <w:lang w:val="en-US" w:eastAsia="zh-CN"/>
        </w:rPr>
        <w:t>项目收入减少</w:t>
      </w:r>
      <w:r>
        <w:rPr>
          <w:rFonts w:hint="eastAsia" w:ascii="仿宋_GB2312" w:hAnsi="仿宋_GB2312" w:eastAsia="仿宋_GB2312" w:cs="仿宋_GB2312"/>
          <w:sz w:val="32"/>
          <w:szCs w:val="32"/>
          <w:u w:val="none"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b w:val="0"/>
          <w:bCs w:val="0"/>
          <w:sz w:val="32"/>
          <w:szCs w:val="32"/>
          <w:u w:val="none" w:color="FFFFFF" w:themeColor="background1"/>
        </w:rPr>
      </w:pPr>
      <w:r>
        <w:rPr>
          <w:rFonts w:hint="eastAsia" w:ascii="仿宋_GB2312" w:hAnsi="仿宋_GB2312" w:eastAsia="仿宋_GB2312" w:cs="仿宋_GB2312"/>
          <w:sz w:val="32"/>
          <w:szCs w:val="32"/>
          <w:u w:val="none" w:color="FFFFFF" w:themeColor="background1"/>
        </w:rPr>
        <w:t>（2）</w:t>
      </w:r>
      <w:r>
        <w:rPr>
          <w:rFonts w:hint="eastAsia" w:ascii="仿宋_GB2312" w:hAnsi="仿宋_GB2312" w:eastAsia="仿宋_GB2312" w:cs="仿宋_GB2312"/>
          <w:b w:val="0"/>
          <w:bCs w:val="0"/>
          <w:sz w:val="32"/>
          <w:szCs w:val="32"/>
          <w:u w:val="none" w:color="FFFFFF" w:themeColor="background1"/>
          <w:lang w:eastAsia="zh-CN"/>
        </w:rPr>
        <w:t>卫生健康</w:t>
      </w:r>
      <w:r>
        <w:rPr>
          <w:rFonts w:hint="eastAsia" w:ascii="仿宋_GB2312" w:hAnsi="仿宋_GB2312" w:eastAsia="仿宋_GB2312" w:cs="仿宋_GB2312"/>
          <w:b w:val="0"/>
          <w:bCs w:val="0"/>
          <w:sz w:val="32"/>
          <w:szCs w:val="32"/>
          <w:u w:val="none" w:color="FFFFFF" w:themeColor="background1"/>
        </w:rPr>
        <w:t>（类）支出</w:t>
      </w:r>
      <w:r>
        <w:rPr>
          <w:rFonts w:hint="eastAsia" w:ascii="仿宋_GB2312" w:hAnsi="仿宋_GB2312" w:eastAsia="仿宋_GB2312" w:cs="仿宋_GB2312"/>
          <w:b w:val="0"/>
          <w:bCs w:val="0"/>
          <w:sz w:val="32"/>
          <w:szCs w:val="32"/>
          <w:u w:val="none" w:color="FFFFFF" w:themeColor="background1"/>
          <w:lang w:val="en-US" w:eastAsia="zh-CN"/>
        </w:rPr>
        <w:t>31.19</w:t>
      </w:r>
      <w:r>
        <w:rPr>
          <w:rFonts w:hint="eastAsia" w:ascii="仿宋_GB2312" w:hAnsi="仿宋_GB2312" w:eastAsia="仿宋_GB2312" w:cs="仿宋_GB2312"/>
          <w:b w:val="0"/>
          <w:bCs w:val="0"/>
          <w:sz w:val="32"/>
          <w:szCs w:val="32"/>
          <w:u w:val="none" w:color="FFFFFF" w:themeColor="background1"/>
        </w:rPr>
        <w:t>万元，主要用于</w:t>
      </w:r>
      <w:r>
        <w:rPr>
          <w:rFonts w:hint="eastAsia" w:ascii="仿宋_GB2312" w:hAnsi="仿宋_GB2312" w:eastAsia="仿宋_GB2312" w:cs="仿宋_GB2312"/>
          <w:b w:val="0"/>
          <w:bCs w:val="0"/>
          <w:sz w:val="32"/>
          <w:szCs w:val="32"/>
          <w:u w:val="none" w:color="FFFFFF" w:themeColor="background1"/>
          <w:lang w:eastAsia="zh-CN"/>
        </w:rPr>
        <w:t>单位职工的医疗保险缴纳</w:t>
      </w:r>
      <w:r>
        <w:rPr>
          <w:rFonts w:hint="eastAsia" w:ascii="仿宋_GB2312" w:hAnsi="仿宋_GB2312" w:eastAsia="仿宋_GB2312" w:cs="仿宋_GB2312"/>
          <w:b w:val="0"/>
          <w:bCs w:val="0"/>
          <w:sz w:val="32"/>
          <w:szCs w:val="32"/>
          <w:u w:val="none" w:color="FFFFFF" w:themeColor="background1"/>
        </w:rPr>
        <w:t>。与上年相比</w:t>
      </w:r>
      <w:r>
        <w:rPr>
          <w:rFonts w:hint="eastAsia" w:ascii="仿宋_GB2312" w:hAnsi="仿宋_GB2312" w:eastAsia="仿宋_GB2312" w:cs="仿宋_GB2312"/>
          <w:b w:val="0"/>
          <w:bCs w:val="0"/>
          <w:sz w:val="32"/>
          <w:szCs w:val="32"/>
          <w:u w:val="none" w:color="FFFFFF" w:themeColor="background1"/>
          <w:lang w:val="en-US" w:eastAsia="zh-CN"/>
        </w:rPr>
        <w:t>增加1.27</w:t>
      </w:r>
      <w:r>
        <w:rPr>
          <w:rFonts w:hint="eastAsia" w:ascii="仿宋_GB2312" w:hAnsi="仿宋_GB2312" w:eastAsia="仿宋_GB2312" w:cs="仿宋_GB2312"/>
          <w:b w:val="0"/>
          <w:bCs w:val="0"/>
          <w:sz w:val="32"/>
          <w:szCs w:val="32"/>
          <w:u w:val="none" w:color="FFFFFF" w:themeColor="background1"/>
        </w:rPr>
        <w:t>万元，</w:t>
      </w:r>
      <w:r>
        <w:rPr>
          <w:rFonts w:hint="eastAsia" w:ascii="仿宋_GB2312" w:hAnsi="仿宋_GB2312" w:eastAsia="仿宋_GB2312" w:cs="仿宋_GB2312"/>
          <w:b w:val="0"/>
          <w:bCs w:val="0"/>
          <w:sz w:val="32"/>
          <w:szCs w:val="32"/>
          <w:u w:val="none" w:color="FFFFFF" w:themeColor="background1"/>
          <w:lang w:val="en-US" w:eastAsia="zh-CN"/>
        </w:rPr>
        <w:t>增加4.24</w:t>
      </w:r>
      <w:r>
        <w:rPr>
          <w:rFonts w:hint="eastAsia" w:ascii="仿宋_GB2312" w:hAnsi="仿宋_GB2312" w:eastAsia="仿宋_GB2312" w:cs="仿宋_GB2312"/>
          <w:b w:val="0"/>
          <w:bCs w:val="0"/>
          <w:sz w:val="32"/>
          <w:szCs w:val="32"/>
          <w:u w:val="none" w:color="FFFFFF" w:themeColor="background1"/>
        </w:rPr>
        <w:t>%。主要原因是</w:t>
      </w:r>
      <w:r>
        <w:rPr>
          <w:rFonts w:hint="eastAsia" w:ascii="仿宋_GB2312" w:hAnsi="仿宋_GB2312" w:eastAsia="仿宋_GB2312" w:cs="仿宋_GB2312"/>
          <w:b w:val="0"/>
          <w:bCs w:val="0"/>
          <w:sz w:val="32"/>
          <w:szCs w:val="32"/>
          <w:u w:val="none" w:color="FFFFFF" w:themeColor="background1"/>
          <w:lang w:val="en-US" w:eastAsia="zh-CN"/>
        </w:rPr>
        <w:t>人员考录，增加经费</w:t>
      </w:r>
      <w:r>
        <w:rPr>
          <w:rFonts w:hint="eastAsia" w:ascii="仿宋_GB2312" w:hAnsi="仿宋_GB2312" w:eastAsia="仿宋_GB2312" w:cs="仿宋_GB2312"/>
          <w:b w:val="0"/>
          <w:bCs w:val="0"/>
          <w:sz w:val="32"/>
          <w:szCs w:val="32"/>
          <w:u w:val="none"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b w:val="0"/>
          <w:bCs w:val="0"/>
          <w:sz w:val="32"/>
          <w:szCs w:val="32"/>
          <w:u w:val="none" w:color="FFFFFF" w:themeColor="background1"/>
        </w:rPr>
        <w:t>（</w:t>
      </w:r>
      <w:r>
        <w:rPr>
          <w:rFonts w:hint="eastAsia" w:ascii="仿宋_GB2312" w:hAnsi="仿宋_GB2312" w:eastAsia="仿宋_GB2312" w:cs="仿宋_GB2312"/>
          <w:b w:val="0"/>
          <w:bCs w:val="0"/>
          <w:sz w:val="32"/>
          <w:szCs w:val="32"/>
          <w:u w:val="none" w:color="FFFFFF" w:themeColor="background1"/>
          <w:lang w:val="en-US" w:eastAsia="zh-CN"/>
        </w:rPr>
        <w:t>3</w:t>
      </w:r>
      <w:r>
        <w:rPr>
          <w:rFonts w:hint="eastAsia" w:ascii="仿宋_GB2312" w:hAnsi="仿宋_GB2312" w:eastAsia="仿宋_GB2312" w:cs="仿宋_GB2312"/>
          <w:b w:val="0"/>
          <w:bCs w:val="0"/>
          <w:sz w:val="32"/>
          <w:szCs w:val="32"/>
          <w:u w:val="none" w:color="FFFFFF" w:themeColor="background1"/>
        </w:rPr>
        <w:t>）</w:t>
      </w:r>
      <w:r>
        <w:rPr>
          <w:rFonts w:hint="eastAsia" w:ascii="仿宋_GB2312" w:hAnsi="仿宋_GB2312" w:eastAsia="仿宋_GB2312" w:cs="仿宋_GB2312"/>
          <w:b w:val="0"/>
          <w:bCs w:val="0"/>
          <w:sz w:val="32"/>
          <w:szCs w:val="32"/>
          <w:u w:val="none" w:color="FFFFFF" w:themeColor="background1"/>
          <w:lang w:val="en-US" w:eastAsia="zh-CN"/>
        </w:rPr>
        <w:t>住房保障</w:t>
      </w:r>
      <w:r>
        <w:rPr>
          <w:rFonts w:hint="eastAsia" w:ascii="仿宋_GB2312" w:hAnsi="仿宋_GB2312" w:eastAsia="仿宋_GB2312" w:cs="仿宋_GB2312"/>
          <w:b w:val="0"/>
          <w:bCs w:val="0"/>
          <w:sz w:val="32"/>
          <w:szCs w:val="32"/>
          <w:u w:val="none" w:color="FFFFFF" w:themeColor="background1"/>
        </w:rPr>
        <w:t>（</w:t>
      </w:r>
      <w:r>
        <w:rPr>
          <w:rFonts w:hint="eastAsia" w:ascii="仿宋_GB2312" w:hAnsi="仿宋_GB2312" w:eastAsia="仿宋_GB2312" w:cs="仿宋_GB2312"/>
          <w:sz w:val="32"/>
          <w:szCs w:val="32"/>
          <w:u w:val="none" w:color="FFFFFF" w:themeColor="background1"/>
        </w:rPr>
        <w:t>类）支出</w:t>
      </w:r>
      <w:r>
        <w:rPr>
          <w:rFonts w:hint="eastAsia" w:ascii="仿宋_GB2312" w:hAnsi="仿宋_GB2312" w:eastAsia="仿宋_GB2312" w:cs="仿宋_GB2312"/>
          <w:sz w:val="32"/>
          <w:szCs w:val="32"/>
          <w:u w:val="none" w:color="FFFFFF" w:themeColor="background1"/>
          <w:lang w:val="en-US" w:eastAsia="zh-CN"/>
        </w:rPr>
        <w:t>45.50万元，</w:t>
      </w:r>
      <w:r>
        <w:rPr>
          <w:rFonts w:hint="eastAsia" w:ascii="仿宋_GB2312" w:hAnsi="仿宋_GB2312" w:eastAsia="仿宋_GB2312" w:cs="仿宋_GB2312"/>
          <w:sz w:val="32"/>
          <w:szCs w:val="32"/>
          <w:u w:val="none" w:color="FFFFFF" w:themeColor="background1"/>
        </w:rPr>
        <w:t>主要用于</w:t>
      </w:r>
      <w:r>
        <w:rPr>
          <w:rFonts w:hint="eastAsia" w:ascii="仿宋_GB2312" w:hAnsi="仿宋_GB2312" w:eastAsia="仿宋_GB2312" w:cs="仿宋_GB2312"/>
          <w:sz w:val="32"/>
          <w:szCs w:val="32"/>
          <w:u w:val="none" w:color="FFFFFF" w:themeColor="background1"/>
          <w:lang w:eastAsia="zh-CN"/>
        </w:rPr>
        <w:t>单位职工的住房公积金缴纳</w:t>
      </w:r>
      <w:r>
        <w:rPr>
          <w:rFonts w:hint="eastAsia" w:ascii="仿宋_GB2312" w:hAnsi="仿宋_GB2312" w:eastAsia="仿宋_GB2312" w:cs="仿宋_GB2312"/>
          <w:sz w:val="32"/>
          <w:szCs w:val="32"/>
          <w:u w:val="none" w:color="FFFFFF" w:themeColor="background1"/>
        </w:rPr>
        <w:t>。与上年相比</w:t>
      </w:r>
      <w:r>
        <w:rPr>
          <w:rFonts w:hint="eastAsia" w:ascii="仿宋_GB2312" w:hAnsi="仿宋_GB2312" w:eastAsia="仿宋_GB2312" w:cs="仿宋_GB2312"/>
          <w:sz w:val="32"/>
          <w:szCs w:val="32"/>
          <w:u w:val="none" w:color="FFFFFF" w:themeColor="background1"/>
          <w:lang w:val="en-US" w:eastAsia="zh-CN"/>
        </w:rPr>
        <w:t>增加3.55</w:t>
      </w:r>
      <w:r>
        <w:rPr>
          <w:rFonts w:hint="eastAsia" w:ascii="仿宋_GB2312" w:hAnsi="仿宋_GB2312" w:eastAsia="仿宋_GB2312" w:cs="仿宋_GB2312"/>
          <w:sz w:val="32"/>
          <w:szCs w:val="32"/>
          <w:u w:val="none" w:color="FFFFFF" w:themeColor="background1"/>
        </w:rPr>
        <w:t>万元，</w:t>
      </w:r>
      <w:r>
        <w:rPr>
          <w:rFonts w:hint="eastAsia" w:ascii="仿宋_GB2312" w:hAnsi="仿宋_GB2312" w:eastAsia="仿宋_GB2312" w:cs="仿宋_GB2312"/>
          <w:sz w:val="32"/>
          <w:szCs w:val="32"/>
          <w:u w:val="none" w:color="FFFFFF" w:themeColor="background1"/>
          <w:lang w:val="en-US" w:eastAsia="zh-CN"/>
        </w:rPr>
        <w:t>增加8.46</w:t>
      </w:r>
      <w:r>
        <w:rPr>
          <w:rFonts w:hint="eastAsia" w:ascii="仿宋_GB2312" w:hAnsi="仿宋_GB2312" w:eastAsia="仿宋_GB2312" w:cs="仿宋_GB2312"/>
          <w:sz w:val="32"/>
          <w:szCs w:val="32"/>
          <w:u w:val="none" w:color="FFFFFF" w:themeColor="background1"/>
        </w:rPr>
        <w:t>%。主要原因是</w:t>
      </w:r>
      <w:r>
        <w:rPr>
          <w:rFonts w:hint="eastAsia" w:ascii="仿宋_GB2312" w:hAnsi="仿宋_GB2312" w:eastAsia="仿宋_GB2312" w:cs="仿宋_GB2312"/>
          <w:sz w:val="32"/>
          <w:szCs w:val="32"/>
          <w:u w:val="none" w:color="FFFFFF" w:themeColor="background1"/>
          <w:lang w:val="en-US" w:eastAsia="zh-CN"/>
        </w:rPr>
        <w:t>人员考录，增加经费</w:t>
      </w:r>
      <w:r>
        <w:rPr>
          <w:rFonts w:hint="eastAsia" w:ascii="仿宋_GB2312" w:hAnsi="仿宋_GB2312" w:eastAsia="仿宋_GB2312" w:cs="仿宋_GB2312"/>
          <w:sz w:val="32"/>
          <w:szCs w:val="32"/>
          <w:u w:val="none" w:color="FFFFFF" w:themeColor="background1"/>
        </w:rPr>
        <w:t>。</w:t>
      </w:r>
    </w:p>
    <w:p>
      <w:pPr>
        <w:pStyle w:val="10"/>
        <w:pageBreakBefore w:val="0"/>
        <w:tabs>
          <w:tab w:val="left" w:pos="2671"/>
          <w:tab w:val="left" w:pos="5000"/>
          <w:tab w:val="left" w:pos="6190"/>
        </w:tabs>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b w:val="0"/>
          <w:bCs w:val="0"/>
          <w:sz w:val="32"/>
          <w:szCs w:val="32"/>
          <w:u w:val="none" w:color="FFFFFF" w:themeColor="background1"/>
        </w:rPr>
        <w:t>（</w:t>
      </w:r>
      <w:r>
        <w:rPr>
          <w:rFonts w:hint="eastAsia" w:ascii="仿宋_GB2312" w:hAnsi="仿宋_GB2312" w:eastAsia="仿宋_GB2312" w:cs="仿宋_GB2312"/>
          <w:b w:val="0"/>
          <w:bCs w:val="0"/>
          <w:sz w:val="32"/>
          <w:szCs w:val="32"/>
          <w:u w:val="none" w:color="FFFFFF" w:themeColor="background1"/>
          <w:lang w:val="en-US" w:eastAsia="zh-CN"/>
        </w:rPr>
        <w:t>3</w:t>
      </w:r>
      <w:r>
        <w:rPr>
          <w:rFonts w:hint="eastAsia" w:ascii="仿宋_GB2312" w:hAnsi="仿宋_GB2312" w:eastAsia="仿宋_GB2312" w:cs="仿宋_GB2312"/>
          <w:b w:val="0"/>
          <w:bCs w:val="0"/>
          <w:sz w:val="32"/>
          <w:szCs w:val="32"/>
          <w:u w:val="none" w:color="FFFFFF" w:themeColor="background1"/>
        </w:rPr>
        <w:t>）</w:t>
      </w:r>
      <w:r>
        <w:rPr>
          <w:rFonts w:hint="eastAsia" w:ascii="仿宋_GB2312" w:hAnsi="仿宋_GB2312" w:eastAsia="仿宋_GB2312" w:cs="仿宋_GB2312"/>
          <w:b w:val="0"/>
          <w:bCs w:val="0"/>
          <w:sz w:val="32"/>
          <w:szCs w:val="32"/>
          <w:u w:val="none" w:color="FFFFFF" w:themeColor="background1"/>
          <w:lang w:val="en-US" w:eastAsia="zh-CN"/>
        </w:rPr>
        <w:t>其他</w:t>
      </w:r>
      <w:r>
        <w:rPr>
          <w:rFonts w:hint="eastAsia" w:ascii="仿宋_GB2312" w:hAnsi="仿宋_GB2312" w:eastAsia="仿宋_GB2312" w:cs="仿宋_GB2312"/>
          <w:b w:val="0"/>
          <w:bCs w:val="0"/>
          <w:sz w:val="32"/>
          <w:szCs w:val="32"/>
          <w:u w:val="none" w:color="FFFFFF" w:themeColor="background1"/>
        </w:rPr>
        <w:t>（</w:t>
      </w:r>
      <w:r>
        <w:rPr>
          <w:rFonts w:hint="eastAsia" w:ascii="仿宋_GB2312" w:hAnsi="仿宋_GB2312" w:eastAsia="仿宋_GB2312" w:cs="仿宋_GB2312"/>
          <w:sz w:val="32"/>
          <w:szCs w:val="32"/>
          <w:u w:val="none" w:color="FFFFFF" w:themeColor="background1"/>
        </w:rPr>
        <w:t>类）支出</w:t>
      </w:r>
      <w:r>
        <w:rPr>
          <w:rFonts w:hint="eastAsia" w:ascii="仿宋_GB2312" w:hAnsi="仿宋_GB2312" w:eastAsia="仿宋_GB2312" w:cs="仿宋_GB2312"/>
          <w:sz w:val="32"/>
          <w:szCs w:val="32"/>
          <w:u w:val="none" w:color="FFFFFF" w:themeColor="background1"/>
          <w:lang w:val="en-US" w:eastAsia="zh-CN"/>
        </w:rPr>
        <w:t>800万元，</w:t>
      </w:r>
      <w:r>
        <w:rPr>
          <w:rFonts w:hint="eastAsia" w:ascii="仿宋_GB2312" w:hAnsi="仿宋_GB2312" w:eastAsia="仿宋_GB2312" w:cs="仿宋_GB2312"/>
          <w:sz w:val="32"/>
          <w:szCs w:val="32"/>
          <w:u w:val="none" w:color="FFFFFF" w:themeColor="background1"/>
        </w:rPr>
        <w:t>主要用于</w:t>
      </w:r>
      <w:r>
        <w:rPr>
          <w:rFonts w:hint="eastAsia" w:ascii="仿宋_GB2312" w:hAnsi="仿宋_GB2312" w:eastAsia="仿宋_GB2312" w:cs="仿宋_GB2312"/>
          <w:sz w:val="32"/>
          <w:szCs w:val="32"/>
          <w:u w:val="none" w:color="FFFFFF" w:themeColor="background1"/>
          <w:lang w:val="en-US" w:eastAsia="zh-CN"/>
        </w:rPr>
        <w:t>上年结转工作经费</w:t>
      </w:r>
      <w:r>
        <w:rPr>
          <w:rFonts w:hint="eastAsia" w:ascii="仿宋_GB2312" w:hAnsi="仿宋_GB2312" w:eastAsia="仿宋_GB2312" w:cs="仿宋_GB2312"/>
          <w:sz w:val="32"/>
          <w:szCs w:val="32"/>
          <w:u w:val="none" w:color="FFFFFF" w:themeColor="background1"/>
        </w:rPr>
        <w:t>。与上年相比</w:t>
      </w:r>
      <w:r>
        <w:rPr>
          <w:rFonts w:hint="eastAsia" w:ascii="仿宋_GB2312" w:hAnsi="仿宋_GB2312" w:eastAsia="仿宋_GB2312" w:cs="仿宋_GB2312"/>
          <w:sz w:val="32"/>
          <w:szCs w:val="32"/>
          <w:u w:val="none" w:color="FFFFFF" w:themeColor="background1"/>
          <w:lang w:val="en-US" w:eastAsia="zh-CN"/>
        </w:rPr>
        <w:t>增加784.46</w:t>
      </w:r>
      <w:r>
        <w:rPr>
          <w:rFonts w:hint="eastAsia" w:ascii="仿宋_GB2312" w:hAnsi="仿宋_GB2312" w:eastAsia="仿宋_GB2312" w:cs="仿宋_GB2312"/>
          <w:sz w:val="32"/>
          <w:szCs w:val="32"/>
          <w:u w:val="none" w:color="FFFFFF" w:themeColor="background1"/>
        </w:rPr>
        <w:t>万元，</w:t>
      </w:r>
      <w:r>
        <w:rPr>
          <w:rFonts w:hint="eastAsia" w:ascii="仿宋_GB2312" w:hAnsi="仿宋_GB2312" w:eastAsia="仿宋_GB2312" w:cs="仿宋_GB2312"/>
          <w:sz w:val="32"/>
          <w:szCs w:val="32"/>
          <w:u w:val="none" w:color="FFFFFF" w:themeColor="background1"/>
          <w:lang w:val="en-US" w:eastAsia="zh-CN"/>
        </w:rPr>
        <w:t>增长5048.01</w:t>
      </w:r>
      <w:r>
        <w:rPr>
          <w:rFonts w:hint="eastAsia" w:ascii="仿宋_GB2312" w:hAnsi="仿宋_GB2312" w:eastAsia="仿宋_GB2312" w:cs="仿宋_GB2312"/>
          <w:sz w:val="32"/>
          <w:szCs w:val="32"/>
          <w:u w:val="none" w:color="FFFFFF" w:themeColor="background1"/>
        </w:rPr>
        <w:t>%。主要原因是</w:t>
      </w:r>
      <w:r>
        <w:rPr>
          <w:rFonts w:hint="eastAsia" w:eastAsia="仿宋_GB2312" w:cs="Times New Roman"/>
          <w:sz w:val="32"/>
          <w:szCs w:val="32"/>
          <w:u w:color="FFFFFF" w:themeColor="background1"/>
          <w:lang w:val="en-US" w:eastAsia="zh-CN"/>
        </w:rPr>
        <w:t>今年拨入工作经费</w:t>
      </w:r>
      <w:r>
        <w:rPr>
          <w:rFonts w:hint="eastAsia" w:ascii="仿宋_GB2312" w:hAnsi="仿宋_GB2312" w:eastAsia="仿宋_GB2312" w:cs="仿宋_GB2312"/>
          <w:sz w:val="32"/>
          <w:szCs w:val="32"/>
          <w:u w:val="none" w:color="FFFFFF" w:themeColor="background1"/>
        </w:rPr>
        <w:t>。</w:t>
      </w:r>
    </w:p>
    <w:p>
      <w:pPr>
        <w:pStyle w:val="10"/>
        <w:pageBreakBefore w:val="0"/>
        <w:tabs>
          <w:tab w:val="left" w:pos="411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2．年终结转结余为</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万元，主要原因是</w:t>
      </w:r>
      <w:r>
        <w:rPr>
          <w:rFonts w:hint="eastAsia" w:eastAsia="仿宋_GB2312" w:cs="Times New Roman"/>
          <w:sz w:val="32"/>
          <w:szCs w:val="32"/>
          <w:u w:color="FFFFFF" w:themeColor="background1"/>
          <w:lang w:val="en-US" w:eastAsia="zh-CN"/>
        </w:rPr>
        <w:t>无年终结转结余</w:t>
      </w:r>
      <w:r>
        <w:rPr>
          <w:rFonts w:hint="default" w:ascii="Times New Roman" w:hAnsi="Times New Roman" w:eastAsia="仿宋_GB2312" w:cs="Times New Roman"/>
          <w:sz w:val="32"/>
          <w:szCs w:val="32"/>
          <w:u w:color="FFFFFF" w:themeColor="background1"/>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color="FFFFFF" w:themeColor="background1"/>
        </w:rPr>
      </w:pPr>
      <w:r>
        <w:rPr>
          <w:rFonts w:hint="eastAsia" w:eastAsia="黑体" w:cs="黑体"/>
          <w:b w:val="0"/>
          <w:bCs w:val="0"/>
          <w:sz w:val="32"/>
          <w:szCs w:val="36"/>
          <w:u w:color="FFFFFF" w:themeColor="background1"/>
        </w:rPr>
        <w:t>二、收入预算情况说明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val="single" w:color="FFFFFF" w:themeColor="background1"/>
          <w:lang w:val="en-US" w:eastAsia="zh-CN"/>
        </w:rPr>
        <w:t>包头市民政局</w:t>
      </w:r>
      <w:r>
        <w:rPr>
          <w:rFonts w:hint="eastAsia" w:eastAsia="仿宋_GB2312" w:cs="Times New Roman"/>
          <w:sz w:val="32"/>
          <w:szCs w:val="32"/>
          <w:u w:color="FFFFFF" w:themeColor="background1"/>
          <w:lang w:val="en-US" w:eastAsia="zh-CN"/>
        </w:rPr>
        <w:t>2023</w:t>
      </w:r>
      <w:r>
        <w:rPr>
          <w:rFonts w:hint="default" w:ascii="Times New Roman" w:hAnsi="Times New Roman" w:eastAsia="仿宋_GB2312" w:cs="Times New Roman"/>
          <w:sz w:val="32"/>
          <w:szCs w:val="32"/>
          <w:u w:color="FFFFFF" w:themeColor="background1"/>
        </w:rPr>
        <w:t>年收入预算合计</w:t>
      </w:r>
      <w:r>
        <w:rPr>
          <w:rFonts w:hint="eastAsia" w:eastAsia="仿宋_GB2312" w:cs="Times New Roman"/>
          <w:sz w:val="32"/>
          <w:szCs w:val="32"/>
          <w:u w:val="single" w:color="FFFFFF" w:themeColor="background1"/>
          <w:lang w:val="en-US" w:eastAsia="zh-CN"/>
        </w:rPr>
        <w:t>3025.95</w:t>
      </w:r>
      <w:r>
        <w:rPr>
          <w:rFonts w:hint="default" w:ascii="Times New Roman" w:hAnsi="Times New Roman" w:eastAsia="仿宋_GB2312" w:cs="Times New Roman"/>
          <w:sz w:val="32"/>
          <w:szCs w:val="32"/>
          <w:u w:color="FFFFFF" w:themeColor="background1"/>
        </w:rPr>
        <w:t>万元，包括本年收入</w:t>
      </w:r>
      <w:r>
        <w:rPr>
          <w:rFonts w:hint="default" w:ascii="Times New Roman" w:hAnsi="Times New Roman" w:eastAsia="仿宋_GB2312" w:cs="Times New Roman"/>
          <w:sz w:val="32"/>
          <w:szCs w:val="32"/>
          <w:u w:val="single" w:color="FFFFFF" w:themeColor="background1"/>
        </w:rPr>
        <w:t xml:space="preserve">     </w:t>
      </w:r>
      <w:r>
        <w:rPr>
          <w:rFonts w:hint="eastAsia" w:eastAsia="仿宋_GB2312" w:cs="Times New Roman"/>
          <w:sz w:val="32"/>
          <w:szCs w:val="32"/>
          <w:u w:val="single" w:color="FFFFFF" w:themeColor="background1"/>
          <w:lang w:val="en-US" w:eastAsia="zh-CN"/>
        </w:rPr>
        <w:t>2225.95</w:t>
      </w:r>
      <w:r>
        <w:rPr>
          <w:rFonts w:hint="default" w:ascii="Times New Roman" w:hAnsi="Times New Roman" w:eastAsia="仿宋_GB2312" w:cs="Times New Roman"/>
          <w:sz w:val="32"/>
          <w:szCs w:val="32"/>
          <w:u w:color="FFFFFF" w:themeColor="background1"/>
        </w:rPr>
        <w:t>万元，上年结转结余</w:t>
      </w:r>
      <w:r>
        <w:rPr>
          <w:rFonts w:hint="eastAsia" w:eastAsia="仿宋_GB2312" w:cs="Times New Roman"/>
          <w:sz w:val="32"/>
          <w:szCs w:val="32"/>
          <w:u w:val="single" w:color="FFFFFF" w:themeColor="background1"/>
          <w:lang w:val="en-US" w:eastAsia="zh-CN"/>
        </w:rPr>
        <w:t>800</w:t>
      </w:r>
      <w:r>
        <w:rPr>
          <w:rFonts w:hint="default" w:ascii="Times New Roman" w:hAnsi="Times New Roman" w:eastAsia="仿宋_GB2312" w:cs="Times New Roman"/>
          <w:sz w:val="32"/>
          <w:szCs w:val="32"/>
          <w:u w:color="FFFFFF" w:themeColor="background1"/>
        </w:rPr>
        <w:t>万元。其中：</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本年一般公共预算收入</w:t>
      </w:r>
      <w:r>
        <w:rPr>
          <w:rFonts w:hint="eastAsia" w:eastAsia="仿宋_GB2312" w:cs="Times New Roman"/>
          <w:sz w:val="32"/>
          <w:szCs w:val="32"/>
          <w:u w:val="single" w:color="FFFFFF" w:themeColor="background1"/>
          <w:lang w:val="en-US" w:eastAsia="zh-CN"/>
        </w:rPr>
        <w:t>2225.95</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73.56</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57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本年政府性基金预算收入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ab/>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57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本年国有资本经营预算收入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57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本年财政专户管理资金</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57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本年事业收入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57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本年事业单位经营收入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57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本年上级补助收入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57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本年附属单位上缴收入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57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本年其他收入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上年结转结余的一般公共预算收入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上年结转结余的政府性基金预算收入</w:t>
      </w:r>
      <w:r>
        <w:rPr>
          <w:rFonts w:hint="eastAsia" w:eastAsia="仿宋_GB2312" w:cs="Times New Roman"/>
          <w:sz w:val="32"/>
          <w:szCs w:val="32"/>
          <w:u w:val="single" w:color="FFFFFF" w:themeColor="background1"/>
          <w:lang w:val="en-US" w:eastAsia="zh-CN"/>
        </w:rPr>
        <w:t>800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26.44</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上年结转结余的国有资本经营预算收入</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上年结转结余的财政专户管理资金</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ab/>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ascii="仿宋_GB2312" w:hAnsi="仿宋_GB2312" w:eastAsia="仿宋_GB2312"/>
          <w:b/>
          <w:bCs/>
          <w:i/>
          <w:iCs/>
          <w:color w:val="FF0000"/>
          <w:sz w:val="32"/>
          <w:szCs w:val="24"/>
          <w:highlight w:val="yellow"/>
          <w:u w:color="FFFFFF" w:themeColor="background1"/>
        </w:rPr>
      </w:pPr>
      <w:r>
        <w:rPr>
          <w:rFonts w:hint="default" w:ascii="Times New Roman" w:hAnsi="Times New Roman" w:eastAsia="仿宋_GB2312" w:cs="Times New Roman"/>
          <w:sz w:val="32"/>
          <w:szCs w:val="32"/>
          <w:u w:color="FFFFFF" w:themeColor="background1"/>
        </w:rPr>
        <w:t>上年结转结余的单位资金</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color="FFFFFF" w:themeColor="background1"/>
        </w:rPr>
      </w:pPr>
      <w:r>
        <w:rPr>
          <w:rFonts w:hint="eastAsia" w:eastAsia="黑体" w:cs="黑体"/>
          <w:b w:val="0"/>
          <w:bCs w:val="0"/>
          <w:sz w:val="32"/>
          <w:szCs w:val="36"/>
          <w:u w:color="FFFFFF" w:themeColor="background1"/>
        </w:rPr>
        <w:t>三、支出预算情况说明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val="single" w:color="FFFFFF" w:themeColor="background1"/>
          <w:lang w:val="en-US" w:eastAsia="zh-CN"/>
        </w:rPr>
        <w:t>包头市民政局</w:t>
      </w:r>
      <w:r>
        <w:rPr>
          <w:rFonts w:hint="eastAsia" w:eastAsia="仿宋_GB2312" w:cs="Times New Roman"/>
          <w:sz w:val="32"/>
          <w:szCs w:val="32"/>
          <w:u w:color="FFFFFF" w:themeColor="background1"/>
          <w:lang w:val="en-US" w:eastAsia="zh-CN"/>
        </w:rPr>
        <w:t>2023</w:t>
      </w:r>
      <w:r>
        <w:rPr>
          <w:rFonts w:hint="default" w:ascii="Times New Roman" w:hAnsi="Times New Roman" w:eastAsia="仿宋_GB2312" w:cs="Times New Roman"/>
          <w:sz w:val="32"/>
          <w:szCs w:val="32"/>
          <w:u w:color="FFFFFF" w:themeColor="background1"/>
        </w:rPr>
        <w:t>年支出预算合计</w:t>
      </w:r>
      <w:r>
        <w:rPr>
          <w:rFonts w:hint="eastAsia" w:eastAsia="仿宋_GB2312" w:cs="Times New Roman"/>
          <w:sz w:val="32"/>
          <w:szCs w:val="32"/>
          <w:u w:val="single" w:color="FFFFFF" w:themeColor="background1"/>
          <w:lang w:val="en-US" w:eastAsia="zh-CN"/>
        </w:rPr>
        <w:t>3025.95</w:t>
      </w:r>
      <w:r>
        <w:rPr>
          <w:rFonts w:hint="default" w:ascii="Times New Roman" w:hAnsi="Times New Roman" w:eastAsia="仿宋_GB2312" w:cs="Times New Roman"/>
          <w:sz w:val="32"/>
          <w:szCs w:val="32"/>
          <w:u w:color="FFFFFF" w:themeColor="background1"/>
        </w:rPr>
        <w:t>万元，其中：</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基本支出</w:t>
      </w:r>
      <w:r>
        <w:rPr>
          <w:rFonts w:hint="eastAsia" w:eastAsia="仿宋_GB2312" w:cs="Times New Roman"/>
          <w:sz w:val="32"/>
          <w:szCs w:val="32"/>
          <w:u w:val="single" w:color="FFFFFF" w:themeColor="background1"/>
          <w:lang w:val="en-US" w:eastAsia="zh-CN"/>
        </w:rPr>
        <w:t>725.95</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23.99</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项目支出</w:t>
      </w:r>
      <w:r>
        <w:rPr>
          <w:rFonts w:hint="eastAsia" w:eastAsia="仿宋_GB2312" w:cs="Times New Roman"/>
          <w:sz w:val="32"/>
          <w:szCs w:val="32"/>
          <w:u w:val="single" w:color="FFFFFF" w:themeColor="background1"/>
          <w:lang w:val="en-US" w:eastAsia="zh-CN"/>
        </w:rPr>
        <w:t>2300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76.01</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color="FFFFFF" w:themeColor="background1"/>
        </w:rPr>
      </w:pPr>
      <w:r>
        <w:rPr>
          <w:rFonts w:hint="default" w:ascii="Times New Roman" w:hAnsi="Times New Roman" w:eastAsia="仿宋_GB2312" w:cs="Times New Roman"/>
          <w:sz w:val="32"/>
          <w:szCs w:val="32"/>
          <w:u w:color="FFFFFF" w:themeColor="background1"/>
        </w:rPr>
        <w:t>事业单位经营支出</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上缴上级支出</w:t>
      </w:r>
      <w:r>
        <w:rPr>
          <w:rFonts w:hint="eastAsia" w:eastAsia="仿宋_GB2312" w:cs="Times New Roman"/>
          <w:sz w:val="32"/>
          <w:szCs w:val="32"/>
          <w:u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对附属单位补助支出</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color="FFFFFF" w:themeColor="background1"/>
        </w:rPr>
      </w:pPr>
      <w:r>
        <w:rPr>
          <w:rFonts w:hint="eastAsia" w:eastAsia="黑体" w:cs="黑体"/>
          <w:b w:val="0"/>
          <w:bCs w:val="0"/>
          <w:sz w:val="32"/>
          <w:szCs w:val="36"/>
          <w:u w:color="FFFFFF" w:themeColor="background1"/>
        </w:rPr>
        <w:t>四、财政拨款收支预算总体情况说明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color="FFFFFF" w:themeColor="background1"/>
        </w:rPr>
      </w:pPr>
      <w:r>
        <w:rPr>
          <w:rFonts w:hint="eastAsia" w:eastAsia="仿宋_GB2312" w:cs="Times New Roman"/>
          <w:sz w:val="32"/>
          <w:szCs w:val="32"/>
          <w:u w:val="single" w:color="FFFFFF" w:themeColor="background1"/>
          <w:lang w:val="en-US" w:eastAsia="zh-CN"/>
        </w:rPr>
        <w:t>包头市民政局</w:t>
      </w:r>
      <w:r>
        <w:rPr>
          <w:rFonts w:hint="eastAsia" w:eastAsia="仿宋_GB2312" w:cs="Times New Roman"/>
          <w:sz w:val="32"/>
          <w:szCs w:val="32"/>
          <w:u w:color="FFFFFF" w:themeColor="background1"/>
          <w:lang w:val="en-US" w:eastAsia="zh-CN"/>
        </w:rPr>
        <w:t>2023</w:t>
      </w:r>
      <w:r>
        <w:rPr>
          <w:rFonts w:hint="default" w:ascii="Times New Roman" w:hAnsi="Times New Roman" w:eastAsia="仿宋_GB2312" w:cs="Times New Roman"/>
          <w:sz w:val="32"/>
          <w:szCs w:val="32"/>
          <w:u w:color="FFFFFF" w:themeColor="background1"/>
        </w:rPr>
        <w:t>年度财政拨款收、支总预算</w:t>
      </w:r>
      <w:r>
        <w:rPr>
          <w:rFonts w:hint="eastAsia" w:eastAsia="仿宋_GB2312" w:cs="Times New Roman"/>
          <w:sz w:val="32"/>
          <w:szCs w:val="32"/>
          <w:u w:val="single" w:color="FFFFFF" w:themeColor="background1"/>
          <w:lang w:val="en-US" w:eastAsia="zh-CN"/>
        </w:rPr>
        <w:t>3025.95</w:t>
      </w:r>
      <w:r>
        <w:rPr>
          <w:rFonts w:hint="default" w:ascii="Times New Roman" w:hAnsi="Times New Roman" w:eastAsia="仿宋_GB2312" w:cs="Times New Roman"/>
          <w:sz w:val="32"/>
          <w:szCs w:val="32"/>
          <w:u w:color="FFFFFF" w:themeColor="background1"/>
        </w:rPr>
        <w:t>万元。与上年相比，财政拨款收、支总计各减少</w:t>
      </w:r>
      <w:r>
        <w:rPr>
          <w:rFonts w:hint="eastAsia" w:eastAsia="仿宋_GB2312" w:cs="Times New Roman"/>
          <w:sz w:val="32"/>
          <w:szCs w:val="32"/>
          <w:u w:val="single" w:color="FFFFFF" w:themeColor="background1"/>
          <w:lang w:val="en-US" w:eastAsia="zh-CN"/>
        </w:rPr>
        <w:t>824.51</w:t>
      </w:r>
      <w:r>
        <w:rPr>
          <w:rFonts w:hint="default" w:ascii="Times New Roman" w:hAnsi="Times New Roman" w:eastAsia="仿宋_GB2312" w:cs="Times New Roman"/>
          <w:sz w:val="32"/>
          <w:szCs w:val="32"/>
          <w:u w:color="FFFFFF" w:themeColor="background1"/>
        </w:rPr>
        <w:t>万元，减少</w:t>
      </w:r>
      <w:r>
        <w:rPr>
          <w:rFonts w:hint="eastAsia" w:eastAsia="仿宋_GB2312" w:cs="Times New Roman"/>
          <w:sz w:val="32"/>
          <w:szCs w:val="32"/>
          <w:u w:val="single" w:color="FFFFFF" w:themeColor="background1"/>
          <w:lang w:val="en-US" w:eastAsia="zh-CN"/>
        </w:rPr>
        <w:t>21.41</w:t>
      </w:r>
      <w:r>
        <w:rPr>
          <w:rFonts w:hint="default" w:ascii="Times New Roman" w:hAnsi="Times New Roman" w:eastAsia="仿宋_GB2312" w:cs="Times New Roman"/>
          <w:sz w:val="32"/>
          <w:szCs w:val="32"/>
          <w:u w:color="FFFFFF" w:themeColor="background1"/>
        </w:rPr>
        <w:t>%。主要原因是</w:t>
      </w:r>
      <w:r>
        <w:rPr>
          <w:rFonts w:hint="eastAsia" w:eastAsia="仿宋_GB2312" w:cs="Times New Roman"/>
          <w:sz w:val="32"/>
          <w:szCs w:val="32"/>
          <w:u w:color="FFFFFF" w:themeColor="background1"/>
          <w:lang w:val="en-US" w:eastAsia="zh-CN"/>
        </w:rPr>
        <w:t>上年结转结余减少</w:t>
      </w:r>
      <w:r>
        <w:rPr>
          <w:rFonts w:hint="default" w:ascii="Times New Roman" w:hAnsi="Times New Roman" w:eastAsia="仿宋_GB2312" w:cs="Times New Roman"/>
          <w:sz w:val="32"/>
          <w:szCs w:val="32"/>
          <w:u w:color="FFFFFF" w:themeColor="background1"/>
        </w:rPr>
        <w:t>。</w:t>
      </w:r>
    </w:p>
    <w:p>
      <w:pPr>
        <w:pageBreakBefore w:val="0"/>
        <w:kinsoku/>
        <w:wordWrap/>
        <w:overflowPunct/>
        <w:topLinePunct w:val="0"/>
        <w:bidi w:val="0"/>
        <w:spacing w:line="600" w:lineRule="exact"/>
        <w:ind w:firstLine="640" w:firstLineChars="200"/>
        <w:outlineLvl w:val="0"/>
        <w:rPr>
          <w:rFonts w:ascii="仿宋" w:hAnsi="仿宋" w:eastAsia="仿宋" w:cs="仿宋"/>
          <w:sz w:val="32"/>
          <w:szCs w:val="32"/>
          <w:highlight w:val="yellow"/>
          <w:u w:color="FFFFFF" w:themeColor="background1"/>
        </w:rPr>
      </w:pPr>
      <w:r>
        <w:rPr>
          <w:rFonts w:hint="eastAsia" w:eastAsia="黑体" w:cs="黑体"/>
          <w:b w:val="0"/>
          <w:bCs w:val="0"/>
          <w:sz w:val="32"/>
          <w:szCs w:val="36"/>
          <w:u w:color="FFFFFF" w:themeColor="background1"/>
        </w:rPr>
        <w:t>五、一般公共预算支出预算情况说明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val="single" w:color="FFFFFF" w:themeColor="background1"/>
          <w:lang w:val="en-US" w:eastAsia="zh-CN"/>
        </w:rPr>
        <w:t>包头市民政局</w:t>
      </w:r>
      <w:r>
        <w:rPr>
          <w:rFonts w:hint="eastAsia" w:eastAsia="仿宋_GB2312" w:cs="Times New Roman"/>
          <w:sz w:val="32"/>
          <w:szCs w:val="32"/>
          <w:u w:color="FFFFFF" w:themeColor="background1"/>
          <w:lang w:val="en-US" w:eastAsia="zh-CN"/>
        </w:rPr>
        <w:t>2023</w:t>
      </w:r>
      <w:r>
        <w:rPr>
          <w:rFonts w:hint="default" w:ascii="Times New Roman" w:hAnsi="Times New Roman" w:eastAsia="仿宋_GB2312" w:cs="Times New Roman"/>
          <w:sz w:val="32"/>
          <w:szCs w:val="32"/>
          <w:u w:color="FFFFFF" w:themeColor="background1"/>
        </w:rPr>
        <w:t>年一般公共预算财政拨款支出预算</w:t>
      </w:r>
      <w:r>
        <w:rPr>
          <w:rFonts w:hint="eastAsia" w:eastAsia="仿宋_GB2312" w:cs="Times New Roman"/>
          <w:sz w:val="32"/>
          <w:szCs w:val="32"/>
          <w:u w:val="single" w:color="FFFFFF" w:themeColor="background1"/>
          <w:lang w:val="en-US" w:eastAsia="zh-CN"/>
        </w:rPr>
        <w:t>2225.95</w:t>
      </w:r>
      <w:r>
        <w:rPr>
          <w:rFonts w:hint="default" w:ascii="Times New Roman" w:hAnsi="Times New Roman" w:eastAsia="仿宋_GB2312" w:cs="Times New Roman"/>
          <w:sz w:val="32"/>
          <w:szCs w:val="32"/>
          <w:u w:color="FFFFFF" w:themeColor="background1"/>
        </w:rPr>
        <w:t>万元，与上年相比减少</w:t>
      </w:r>
      <w:r>
        <w:rPr>
          <w:rFonts w:hint="eastAsia" w:eastAsia="仿宋_GB2312" w:cs="Times New Roman"/>
          <w:sz w:val="32"/>
          <w:szCs w:val="32"/>
          <w:u w:color="FFFFFF" w:themeColor="background1"/>
          <w:lang w:val="en-US" w:eastAsia="zh-CN"/>
        </w:rPr>
        <w:t>1608.97</w:t>
      </w:r>
      <w:r>
        <w:rPr>
          <w:rFonts w:hint="default" w:ascii="Times New Roman" w:hAnsi="Times New Roman" w:eastAsia="仿宋_GB2312" w:cs="Times New Roman"/>
          <w:sz w:val="32"/>
          <w:szCs w:val="32"/>
          <w:u w:color="FFFFFF" w:themeColor="background1"/>
        </w:rPr>
        <w:t>万元，减少</w:t>
      </w:r>
      <w:r>
        <w:rPr>
          <w:rFonts w:hint="eastAsia" w:eastAsia="仿宋_GB2312" w:cs="Times New Roman"/>
          <w:sz w:val="32"/>
          <w:szCs w:val="32"/>
          <w:u w:color="FFFFFF" w:themeColor="background1"/>
          <w:lang w:val="en-US" w:eastAsia="zh-CN"/>
        </w:rPr>
        <w:t>41.96</w:t>
      </w:r>
      <w:r>
        <w:rPr>
          <w:rFonts w:hint="default" w:ascii="Times New Roman" w:hAnsi="Times New Roman" w:eastAsia="仿宋_GB2312" w:cs="Times New Roman"/>
          <w:sz w:val="32"/>
          <w:szCs w:val="32"/>
          <w:u w:color="FFFFFF" w:themeColor="background1"/>
        </w:rPr>
        <w:t>%。主要原因是</w:t>
      </w:r>
      <w:r>
        <w:rPr>
          <w:rFonts w:hint="eastAsia" w:eastAsia="仿宋_GB2312" w:cs="Times New Roman"/>
          <w:sz w:val="32"/>
          <w:szCs w:val="32"/>
          <w:u w:color="FFFFFF" w:themeColor="background1"/>
          <w:lang w:val="en-US" w:eastAsia="zh-CN"/>
        </w:rPr>
        <w:t>上年拨入殡仪馆经费拨入我局</w:t>
      </w:r>
      <w:r>
        <w:rPr>
          <w:rFonts w:hint="default" w:ascii="Times New Roman" w:hAnsi="Times New Roman" w:eastAsia="仿宋_GB2312" w:cs="Times New Roman"/>
          <w:sz w:val="32"/>
          <w:szCs w:val="32"/>
          <w:u w:color="FFFFFF" w:themeColor="background1"/>
        </w:rPr>
        <w:t>。</w:t>
      </w:r>
    </w:p>
    <w:p>
      <w:pPr>
        <w:pStyle w:val="10"/>
        <w:pageBreakBefore w:val="0"/>
        <w:tabs>
          <w:tab w:val="left" w:pos="4275"/>
        </w:tabs>
        <w:kinsoku/>
        <w:wordWrap/>
        <w:overflowPunct/>
        <w:topLinePunct w:val="0"/>
        <w:autoSpaceDE/>
        <w:autoSpaceDN/>
        <w:bidi w:val="0"/>
        <w:spacing w:after="0" w:line="570" w:lineRule="exact"/>
        <w:ind w:firstLine="643" w:firstLineChars="200"/>
        <w:textAlignment w:val="auto"/>
        <w:rPr>
          <w:rFonts w:ascii="楷体" w:hAnsi="楷体" w:eastAsia="楷体" w:cs="楷体"/>
          <w:b/>
          <w:bCs/>
          <w:sz w:val="32"/>
          <w:szCs w:val="32"/>
          <w:u w:color="FFFFFF" w:themeColor="background1"/>
        </w:rPr>
      </w:pPr>
      <w:r>
        <w:rPr>
          <w:rFonts w:hint="eastAsia" w:ascii="楷体" w:hAnsi="楷体" w:eastAsia="楷体" w:cs="楷体"/>
          <w:b/>
          <w:bCs/>
          <w:sz w:val="32"/>
          <w:szCs w:val="32"/>
          <w:u w:color="FFFFFF" w:themeColor="background1"/>
        </w:rPr>
        <w:t>（一）</w:t>
      </w:r>
      <w:r>
        <w:rPr>
          <w:rFonts w:hint="eastAsia" w:ascii="楷体" w:hAnsi="楷体" w:eastAsia="楷体" w:cs="楷体"/>
          <w:b/>
          <w:bCs/>
          <w:sz w:val="32"/>
          <w:szCs w:val="32"/>
          <w:u w:color="FFFFFF" w:themeColor="background1"/>
          <w:lang w:val="en-US" w:eastAsia="zh-CN"/>
        </w:rPr>
        <w:t>社会保障和就业支出</w:t>
      </w:r>
      <w:r>
        <w:rPr>
          <w:rFonts w:hint="eastAsia" w:ascii="楷体" w:hAnsi="楷体" w:eastAsia="楷体" w:cs="楷体"/>
          <w:b/>
          <w:bCs/>
          <w:sz w:val="32"/>
          <w:szCs w:val="32"/>
          <w:u w:color="FFFFFF" w:themeColor="background1"/>
        </w:rPr>
        <w:t>（类）</w:t>
      </w:r>
    </w:p>
    <w:p>
      <w:pPr>
        <w:pStyle w:val="10"/>
        <w:pageBreakBefore w:val="0"/>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FFFFFF" w:themeColor="background1"/>
          <w:lang w:val="en-US" w:eastAsia="zh-CN"/>
        </w:rPr>
      </w:pPr>
      <w:r>
        <w:rPr>
          <w:rFonts w:hint="eastAsia" w:ascii="仿宋_GB2312" w:hAnsi="仿宋_GB2312" w:eastAsia="仿宋_GB2312" w:cs="仿宋_GB2312"/>
          <w:sz w:val="32"/>
          <w:szCs w:val="32"/>
          <w:u w:val="none" w:color="FFFFFF" w:themeColor="background1"/>
        </w:rPr>
        <w:t>1.</w:t>
      </w:r>
      <w:r>
        <w:rPr>
          <w:rFonts w:hint="eastAsia" w:ascii="仿宋_GB2312" w:hAnsi="仿宋_GB2312" w:eastAsia="仿宋_GB2312" w:cs="仿宋_GB2312"/>
          <w:b w:val="0"/>
          <w:bCs w:val="0"/>
          <w:sz w:val="32"/>
          <w:szCs w:val="32"/>
          <w:u w:val="none" w:color="FFFFFF" w:themeColor="background1"/>
          <w:lang w:val="en-US" w:eastAsia="zh-CN"/>
        </w:rPr>
        <w:t>民政管理事务</w:t>
      </w:r>
      <w:r>
        <w:rPr>
          <w:rFonts w:hint="eastAsia" w:ascii="仿宋_GB2312" w:hAnsi="仿宋_GB2312" w:eastAsia="仿宋_GB2312" w:cs="仿宋_GB2312"/>
          <w:sz w:val="32"/>
          <w:szCs w:val="32"/>
          <w:u w:val="none" w:color="FFFFFF" w:themeColor="background1"/>
        </w:rPr>
        <w:t>（款）行政运行（项）。年初预算</w:t>
      </w:r>
      <w:r>
        <w:rPr>
          <w:rFonts w:hint="eastAsia" w:ascii="仿宋_GB2312" w:hAnsi="仿宋_GB2312" w:eastAsia="仿宋_GB2312" w:cs="仿宋_GB2312"/>
          <w:sz w:val="32"/>
          <w:szCs w:val="32"/>
          <w:u w:val="none" w:color="FFFFFF" w:themeColor="background1"/>
          <w:lang w:val="en-US" w:eastAsia="zh-CN"/>
        </w:rPr>
        <w:t>554.40</w:t>
      </w:r>
      <w:r>
        <w:rPr>
          <w:rFonts w:hint="eastAsia" w:ascii="仿宋_GB2312" w:hAnsi="仿宋_GB2312" w:eastAsia="仿宋_GB2312" w:cs="仿宋_GB2312"/>
          <w:sz w:val="32"/>
          <w:szCs w:val="32"/>
          <w:u w:val="none" w:color="FFFFFF" w:themeColor="background1"/>
        </w:rPr>
        <w:t>万元，与上年相比</w:t>
      </w:r>
      <w:r>
        <w:rPr>
          <w:rFonts w:hint="eastAsia" w:ascii="仿宋_GB2312" w:hAnsi="仿宋_GB2312" w:eastAsia="仿宋_GB2312" w:cs="仿宋_GB2312"/>
          <w:sz w:val="32"/>
          <w:szCs w:val="32"/>
          <w:u w:val="none" w:color="FFFFFF" w:themeColor="background1"/>
          <w:lang w:val="en-US" w:eastAsia="zh-CN"/>
        </w:rPr>
        <w:t>减少16.88</w:t>
      </w:r>
      <w:r>
        <w:rPr>
          <w:rFonts w:hint="eastAsia" w:ascii="仿宋_GB2312" w:hAnsi="仿宋_GB2312" w:eastAsia="仿宋_GB2312" w:cs="仿宋_GB2312"/>
          <w:sz w:val="32"/>
          <w:szCs w:val="32"/>
          <w:u w:val="none" w:color="FFFFFF" w:themeColor="background1"/>
        </w:rPr>
        <w:t>万元，</w:t>
      </w:r>
      <w:r>
        <w:rPr>
          <w:rFonts w:hint="eastAsia" w:ascii="仿宋_GB2312" w:hAnsi="仿宋_GB2312" w:eastAsia="仿宋_GB2312" w:cs="仿宋_GB2312"/>
          <w:sz w:val="32"/>
          <w:szCs w:val="32"/>
          <w:u w:val="none" w:color="FFFFFF" w:themeColor="background1"/>
          <w:lang w:val="en-US" w:eastAsia="zh-CN"/>
        </w:rPr>
        <w:t>减少2.95</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缩减公用经费</w:t>
      </w:r>
      <w:r>
        <w:rPr>
          <w:rFonts w:hint="eastAsia" w:ascii="仿宋_GB2312" w:hAnsi="仿宋_GB2312" w:eastAsia="仿宋_GB2312" w:cs="仿宋_GB2312"/>
          <w:sz w:val="32"/>
          <w:szCs w:val="32"/>
          <w:u w:val="none" w:color="FFFFFF" w:themeColor="background1"/>
        </w:rPr>
        <w:t>。</w:t>
      </w:r>
    </w:p>
    <w:p>
      <w:pPr>
        <w:pStyle w:val="10"/>
        <w:pageBreakBefore w:val="0"/>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lang w:val="en-US" w:eastAsia="zh-CN"/>
        </w:rPr>
        <w:t>2.行政事业单位养老支出</w:t>
      </w:r>
      <w:r>
        <w:rPr>
          <w:rFonts w:hint="eastAsia" w:ascii="仿宋_GB2312" w:hAnsi="仿宋_GB2312" w:eastAsia="仿宋_GB2312" w:cs="仿宋_GB2312"/>
          <w:sz w:val="32"/>
          <w:szCs w:val="32"/>
          <w:u w:val="none" w:color="FFFFFF" w:themeColor="background1"/>
        </w:rPr>
        <w:t>（款）行政</w:t>
      </w:r>
      <w:r>
        <w:rPr>
          <w:rFonts w:hint="eastAsia" w:ascii="仿宋_GB2312" w:hAnsi="仿宋_GB2312" w:eastAsia="仿宋_GB2312" w:cs="仿宋_GB2312"/>
          <w:sz w:val="32"/>
          <w:szCs w:val="32"/>
          <w:u w:val="none" w:color="FFFFFF" w:themeColor="background1"/>
          <w:lang w:val="en-US" w:eastAsia="zh-CN"/>
        </w:rPr>
        <w:t>单位离退休</w:t>
      </w:r>
      <w:r>
        <w:rPr>
          <w:rFonts w:hint="eastAsia" w:ascii="仿宋_GB2312" w:hAnsi="仿宋_GB2312" w:eastAsia="仿宋_GB2312" w:cs="仿宋_GB2312"/>
          <w:sz w:val="32"/>
          <w:szCs w:val="32"/>
          <w:u w:val="none" w:color="FFFFFF" w:themeColor="background1"/>
        </w:rPr>
        <w:t>（项）</w:t>
      </w:r>
      <w:r>
        <w:rPr>
          <w:rFonts w:hint="eastAsia" w:ascii="仿宋_GB2312" w:hAnsi="仿宋_GB2312" w:eastAsia="仿宋_GB2312" w:cs="仿宋_GB2312"/>
          <w:sz w:val="32"/>
          <w:szCs w:val="32"/>
          <w:u w:val="none" w:color="FFFFFF" w:themeColor="background1"/>
          <w:lang w:eastAsia="zh-CN"/>
        </w:rPr>
        <w:t>。</w:t>
      </w:r>
      <w:r>
        <w:rPr>
          <w:rFonts w:hint="eastAsia" w:ascii="仿宋_GB2312" w:hAnsi="仿宋_GB2312" w:eastAsia="仿宋_GB2312" w:cs="仿宋_GB2312"/>
          <w:sz w:val="32"/>
          <w:szCs w:val="32"/>
          <w:u w:val="none" w:color="FFFFFF" w:themeColor="background1"/>
        </w:rPr>
        <w:t>年初预算</w:t>
      </w:r>
      <w:r>
        <w:rPr>
          <w:rFonts w:hint="eastAsia" w:ascii="仿宋_GB2312" w:hAnsi="仿宋_GB2312" w:eastAsia="仿宋_GB2312" w:cs="仿宋_GB2312"/>
          <w:sz w:val="32"/>
          <w:szCs w:val="32"/>
          <w:u w:val="none" w:color="FFFFFF" w:themeColor="background1"/>
          <w:lang w:val="en-US" w:eastAsia="zh-CN"/>
        </w:rPr>
        <w:t>36.31</w:t>
      </w:r>
      <w:r>
        <w:rPr>
          <w:rFonts w:hint="eastAsia" w:ascii="仿宋_GB2312" w:hAnsi="仿宋_GB2312" w:eastAsia="仿宋_GB2312" w:cs="仿宋_GB2312"/>
          <w:sz w:val="32"/>
          <w:szCs w:val="32"/>
          <w:u w:val="none" w:color="FFFFFF" w:themeColor="background1"/>
        </w:rPr>
        <w:t>万元，与上年相比</w:t>
      </w:r>
      <w:r>
        <w:rPr>
          <w:rFonts w:hint="eastAsia" w:ascii="仿宋_GB2312" w:hAnsi="仿宋_GB2312" w:eastAsia="仿宋_GB2312" w:cs="仿宋_GB2312"/>
          <w:sz w:val="32"/>
          <w:szCs w:val="32"/>
          <w:u w:val="none" w:color="FFFFFF" w:themeColor="background1"/>
          <w:lang w:val="en-US" w:eastAsia="zh-CN"/>
        </w:rPr>
        <w:t>增加16.84</w:t>
      </w:r>
      <w:r>
        <w:rPr>
          <w:rFonts w:hint="eastAsia" w:ascii="仿宋_GB2312" w:hAnsi="仿宋_GB2312" w:eastAsia="仿宋_GB2312" w:cs="仿宋_GB2312"/>
          <w:sz w:val="32"/>
          <w:szCs w:val="32"/>
          <w:u w:val="none" w:color="FFFFFF" w:themeColor="background1"/>
        </w:rPr>
        <w:t>万元，</w:t>
      </w:r>
      <w:r>
        <w:rPr>
          <w:rFonts w:hint="eastAsia" w:ascii="仿宋_GB2312" w:hAnsi="仿宋_GB2312" w:eastAsia="仿宋_GB2312" w:cs="仿宋_GB2312"/>
          <w:sz w:val="32"/>
          <w:szCs w:val="32"/>
          <w:u w:val="none" w:color="FFFFFF" w:themeColor="background1"/>
          <w:lang w:val="en-US" w:eastAsia="zh-CN"/>
        </w:rPr>
        <w:t>增长86.49</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增加退休人员工资部分</w:t>
      </w:r>
      <w:r>
        <w:rPr>
          <w:rFonts w:hint="eastAsia" w:ascii="仿宋_GB2312" w:hAnsi="仿宋_GB2312" w:eastAsia="仿宋_GB2312" w:cs="仿宋_GB2312"/>
          <w:sz w:val="32"/>
          <w:szCs w:val="32"/>
          <w:u w:val="none" w:color="FFFFFF" w:themeColor="background1"/>
        </w:rPr>
        <w:t>。</w:t>
      </w:r>
    </w:p>
    <w:p>
      <w:pPr>
        <w:pStyle w:val="10"/>
        <w:pageBreakBefore w:val="0"/>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val="none" w:color="FFFFFF" w:themeColor="background1"/>
          <w:lang w:val="en-US" w:eastAsia="zh-CN"/>
        </w:rPr>
        <w:t>3.行政事业单位养老支出</w:t>
      </w:r>
      <w:r>
        <w:rPr>
          <w:rFonts w:hint="eastAsia" w:ascii="仿宋_GB2312" w:hAnsi="仿宋_GB2312" w:eastAsia="仿宋_GB2312" w:cs="仿宋_GB2312"/>
          <w:sz w:val="32"/>
          <w:szCs w:val="32"/>
          <w:u w:val="none" w:color="FFFFFF" w:themeColor="background1"/>
        </w:rPr>
        <w:t>（款）</w:t>
      </w:r>
      <w:r>
        <w:rPr>
          <w:rFonts w:hint="eastAsia" w:ascii="仿宋_GB2312" w:hAnsi="仿宋_GB2312" w:eastAsia="仿宋_GB2312" w:cs="仿宋_GB2312"/>
          <w:sz w:val="32"/>
          <w:szCs w:val="32"/>
          <w:u w:val="none" w:color="FFFFFF" w:themeColor="background1"/>
          <w:lang w:val="en-US" w:eastAsia="zh-CN"/>
        </w:rPr>
        <w:t>机关事业单位基本养老保险缴费支出</w:t>
      </w:r>
      <w:r>
        <w:rPr>
          <w:rFonts w:hint="eastAsia" w:ascii="仿宋_GB2312" w:hAnsi="仿宋_GB2312" w:eastAsia="仿宋_GB2312" w:cs="仿宋_GB2312"/>
          <w:sz w:val="32"/>
          <w:szCs w:val="32"/>
          <w:u w:val="none" w:color="FFFFFF" w:themeColor="background1"/>
        </w:rPr>
        <w:t>（项）</w:t>
      </w:r>
      <w:r>
        <w:rPr>
          <w:rFonts w:hint="eastAsia" w:ascii="仿宋_GB2312" w:hAnsi="仿宋_GB2312" w:eastAsia="仿宋_GB2312" w:cs="仿宋_GB2312"/>
          <w:sz w:val="32"/>
          <w:szCs w:val="32"/>
          <w:u w:val="none" w:color="FFFFFF" w:themeColor="background1"/>
          <w:lang w:eastAsia="zh-CN"/>
        </w:rPr>
        <w:t>。</w:t>
      </w:r>
      <w:r>
        <w:rPr>
          <w:rFonts w:hint="eastAsia" w:ascii="仿宋_GB2312" w:hAnsi="仿宋_GB2312" w:eastAsia="仿宋_GB2312" w:cs="仿宋_GB2312"/>
          <w:sz w:val="32"/>
          <w:szCs w:val="32"/>
          <w:u w:val="none" w:color="FFFFFF" w:themeColor="background1"/>
        </w:rPr>
        <w:t>年初预算</w:t>
      </w:r>
      <w:r>
        <w:rPr>
          <w:rFonts w:hint="eastAsia" w:ascii="仿宋_GB2312" w:hAnsi="仿宋_GB2312" w:eastAsia="仿宋_GB2312" w:cs="仿宋_GB2312"/>
          <w:sz w:val="32"/>
          <w:szCs w:val="32"/>
          <w:u w:val="none" w:color="FFFFFF" w:themeColor="background1"/>
          <w:lang w:val="en-US" w:eastAsia="zh-CN"/>
        </w:rPr>
        <w:t>58.56</w:t>
      </w:r>
      <w:r>
        <w:rPr>
          <w:rFonts w:hint="eastAsia" w:ascii="仿宋_GB2312" w:hAnsi="仿宋_GB2312" w:eastAsia="仿宋_GB2312" w:cs="仿宋_GB2312"/>
          <w:sz w:val="32"/>
          <w:szCs w:val="32"/>
          <w:u w:val="none" w:color="FFFFFF" w:themeColor="background1"/>
        </w:rPr>
        <w:t>万元，与上年相比</w:t>
      </w:r>
      <w:r>
        <w:rPr>
          <w:rFonts w:hint="eastAsia" w:ascii="仿宋_GB2312" w:hAnsi="仿宋_GB2312" w:eastAsia="仿宋_GB2312" w:cs="仿宋_GB2312"/>
          <w:sz w:val="32"/>
          <w:szCs w:val="32"/>
          <w:u w:val="none" w:color="FFFFFF" w:themeColor="background1"/>
          <w:lang w:val="en-US" w:eastAsia="zh-CN"/>
        </w:rPr>
        <w:t>增加2.62</w:t>
      </w:r>
      <w:r>
        <w:rPr>
          <w:rFonts w:hint="eastAsia" w:ascii="仿宋_GB2312" w:hAnsi="仿宋_GB2312" w:eastAsia="仿宋_GB2312" w:cs="仿宋_GB2312"/>
          <w:sz w:val="32"/>
          <w:szCs w:val="32"/>
          <w:u w:val="none" w:color="FFFFFF" w:themeColor="background1"/>
        </w:rPr>
        <w:t>万元，</w:t>
      </w:r>
      <w:r>
        <w:rPr>
          <w:rFonts w:hint="eastAsia" w:ascii="仿宋_GB2312" w:hAnsi="仿宋_GB2312" w:eastAsia="仿宋_GB2312" w:cs="仿宋_GB2312"/>
          <w:sz w:val="32"/>
          <w:szCs w:val="32"/>
          <w:u w:val="none" w:color="FFFFFF" w:themeColor="background1"/>
          <w:lang w:val="en-US" w:eastAsia="zh-CN"/>
        </w:rPr>
        <w:t>增长4.68</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人员考录增加经费</w:t>
      </w:r>
      <w:r>
        <w:rPr>
          <w:rFonts w:hint="eastAsia" w:ascii="仿宋_GB2312" w:hAnsi="仿宋_GB2312" w:eastAsia="仿宋_GB2312" w:cs="仿宋_GB2312"/>
          <w:sz w:val="32"/>
          <w:szCs w:val="32"/>
          <w:u w:val="none" w:color="FFFFFF" w:themeColor="background1"/>
        </w:rPr>
        <w:t>。</w:t>
      </w:r>
    </w:p>
    <w:p>
      <w:pPr>
        <w:pStyle w:val="10"/>
        <w:pageBreakBefore w:val="0"/>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color="FFFFFF" w:themeColor="background1"/>
          <w:lang w:val="en-US" w:eastAsia="zh-CN"/>
        </w:rPr>
      </w:pPr>
      <w:r>
        <w:rPr>
          <w:rFonts w:hint="eastAsia" w:ascii="仿宋_GB2312" w:hAnsi="仿宋_GB2312" w:eastAsia="仿宋_GB2312" w:cs="仿宋_GB2312"/>
          <w:sz w:val="32"/>
          <w:szCs w:val="32"/>
          <w:u w:val="none" w:color="FFFFFF" w:themeColor="background1"/>
          <w:lang w:val="en-US" w:eastAsia="zh-CN"/>
        </w:rPr>
        <w:t>5.社会福利</w:t>
      </w:r>
      <w:r>
        <w:rPr>
          <w:rFonts w:hint="eastAsia" w:ascii="仿宋_GB2312" w:hAnsi="仿宋_GB2312" w:eastAsia="仿宋_GB2312" w:cs="仿宋_GB2312"/>
          <w:sz w:val="32"/>
          <w:szCs w:val="32"/>
          <w:u w:val="none" w:color="FFFFFF" w:themeColor="background1"/>
        </w:rPr>
        <w:t>（款）</w:t>
      </w:r>
      <w:r>
        <w:rPr>
          <w:rFonts w:hint="eastAsia" w:ascii="仿宋_GB2312" w:hAnsi="仿宋_GB2312" w:eastAsia="仿宋_GB2312" w:cs="仿宋_GB2312"/>
          <w:sz w:val="32"/>
          <w:szCs w:val="32"/>
          <w:u w:val="none" w:color="FFFFFF" w:themeColor="background1"/>
          <w:lang w:val="en-US" w:eastAsia="zh-CN"/>
        </w:rPr>
        <w:t>殡葬</w:t>
      </w:r>
      <w:r>
        <w:rPr>
          <w:rFonts w:hint="eastAsia" w:ascii="仿宋_GB2312" w:hAnsi="仿宋_GB2312" w:eastAsia="仿宋_GB2312" w:cs="仿宋_GB2312"/>
          <w:sz w:val="32"/>
          <w:szCs w:val="32"/>
          <w:u w:val="none" w:color="FFFFFF" w:themeColor="background1"/>
        </w:rPr>
        <w:t>（项）</w:t>
      </w:r>
      <w:r>
        <w:rPr>
          <w:rFonts w:hint="eastAsia" w:ascii="仿宋_GB2312" w:hAnsi="仿宋_GB2312" w:eastAsia="仿宋_GB2312" w:cs="仿宋_GB2312"/>
          <w:sz w:val="32"/>
          <w:szCs w:val="32"/>
          <w:u w:val="none" w:color="FFFFFF" w:themeColor="background1"/>
          <w:lang w:eastAsia="zh-CN"/>
        </w:rPr>
        <w:t>。</w:t>
      </w:r>
      <w:r>
        <w:rPr>
          <w:rFonts w:hint="eastAsia" w:ascii="仿宋_GB2312" w:hAnsi="仿宋_GB2312" w:eastAsia="仿宋_GB2312" w:cs="仿宋_GB2312"/>
          <w:sz w:val="32"/>
          <w:szCs w:val="32"/>
          <w:u w:val="none" w:color="FFFFFF" w:themeColor="background1"/>
        </w:rPr>
        <w:t>年初预算</w:t>
      </w:r>
      <w:r>
        <w:rPr>
          <w:rFonts w:hint="eastAsia" w:ascii="仿宋_GB2312" w:hAnsi="仿宋_GB2312" w:eastAsia="仿宋_GB2312" w:cs="仿宋_GB2312"/>
          <w:sz w:val="32"/>
          <w:szCs w:val="32"/>
          <w:u w:val="none" w:color="FFFFFF" w:themeColor="background1"/>
          <w:lang w:val="en-US" w:eastAsia="zh-CN"/>
        </w:rPr>
        <w:t>1500</w:t>
      </w:r>
      <w:r>
        <w:rPr>
          <w:rFonts w:hint="eastAsia" w:ascii="仿宋_GB2312" w:hAnsi="仿宋_GB2312" w:eastAsia="仿宋_GB2312" w:cs="仿宋_GB2312"/>
          <w:sz w:val="32"/>
          <w:szCs w:val="32"/>
          <w:u w:val="none" w:color="FFFFFF" w:themeColor="background1"/>
        </w:rPr>
        <w:t>万元，与上年相比</w:t>
      </w:r>
      <w:r>
        <w:rPr>
          <w:rFonts w:hint="eastAsia" w:ascii="仿宋_GB2312" w:hAnsi="仿宋_GB2312" w:eastAsia="仿宋_GB2312" w:cs="仿宋_GB2312"/>
          <w:sz w:val="32"/>
          <w:szCs w:val="32"/>
          <w:u w:val="none" w:color="FFFFFF" w:themeColor="background1"/>
          <w:lang w:val="en-US" w:eastAsia="zh-CN"/>
        </w:rPr>
        <w:t>减少1037.42</w:t>
      </w:r>
      <w:r>
        <w:rPr>
          <w:rFonts w:hint="eastAsia" w:ascii="仿宋_GB2312" w:hAnsi="仿宋_GB2312" w:eastAsia="仿宋_GB2312" w:cs="仿宋_GB2312"/>
          <w:sz w:val="32"/>
          <w:szCs w:val="32"/>
          <w:u w:val="none" w:color="FFFFFF" w:themeColor="background1"/>
        </w:rPr>
        <w:t>万元，</w:t>
      </w:r>
      <w:r>
        <w:rPr>
          <w:rFonts w:hint="eastAsia" w:ascii="仿宋_GB2312" w:hAnsi="仿宋_GB2312" w:eastAsia="仿宋_GB2312" w:cs="仿宋_GB2312"/>
          <w:sz w:val="32"/>
          <w:szCs w:val="32"/>
          <w:u w:val="none" w:color="FFFFFF" w:themeColor="background1"/>
          <w:lang w:val="en-US" w:eastAsia="zh-CN"/>
        </w:rPr>
        <w:t>减少40.88</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上年预算包含返还经费</w:t>
      </w:r>
      <w:r>
        <w:rPr>
          <w:rFonts w:hint="eastAsia" w:ascii="仿宋_GB2312" w:hAnsi="仿宋_GB2312" w:eastAsia="仿宋_GB2312" w:cs="仿宋_GB2312"/>
          <w:sz w:val="32"/>
          <w:szCs w:val="32"/>
          <w:u w:val="none" w:color="FFFFFF" w:themeColor="background1"/>
        </w:rPr>
        <w:t>。</w:t>
      </w:r>
    </w:p>
    <w:p>
      <w:pPr>
        <w:pStyle w:val="10"/>
        <w:pageBreakBefore w:val="0"/>
        <w:tabs>
          <w:tab w:val="left" w:pos="4275"/>
        </w:tabs>
        <w:kinsoku/>
        <w:wordWrap/>
        <w:overflowPunct/>
        <w:topLinePunct w:val="0"/>
        <w:autoSpaceDE/>
        <w:autoSpaceDN/>
        <w:bidi w:val="0"/>
        <w:spacing w:after="0" w:line="570" w:lineRule="exact"/>
        <w:ind w:firstLine="643" w:firstLineChars="200"/>
        <w:textAlignment w:val="auto"/>
        <w:rPr>
          <w:rFonts w:ascii="楷体" w:hAnsi="楷体" w:eastAsia="楷体" w:cs="楷体"/>
          <w:b/>
          <w:bCs/>
          <w:sz w:val="32"/>
          <w:szCs w:val="32"/>
          <w:u w:color="FFFFFF" w:themeColor="background1"/>
        </w:rPr>
      </w:pPr>
      <w:r>
        <w:rPr>
          <w:rFonts w:hint="eastAsia" w:ascii="楷体" w:hAnsi="楷体" w:eastAsia="楷体" w:cs="楷体"/>
          <w:b/>
          <w:bCs/>
          <w:sz w:val="32"/>
          <w:szCs w:val="32"/>
          <w:u w:color="FFFFFF" w:themeColor="background1"/>
        </w:rPr>
        <w:t>（二）</w:t>
      </w:r>
      <w:r>
        <w:rPr>
          <w:rFonts w:hint="eastAsia" w:ascii="楷体" w:hAnsi="楷体" w:eastAsia="楷体" w:cs="楷体"/>
          <w:b/>
          <w:bCs/>
          <w:sz w:val="32"/>
          <w:szCs w:val="32"/>
          <w:u w:color="FFFFFF" w:themeColor="background1"/>
          <w:lang w:val="en-US" w:eastAsia="zh-CN"/>
        </w:rPr>
        <w:t>卫生健康支出</w:t>
      </w:r>
      <w:r>
        <w:rPr>
          <w:rFonts w:hint="eastAsia" w:ascii="楷体" w:hAnsi="楷体" w:eastAsia="楷体" w:cs="楷体"/>
          <w:b/>
          <w:bCs/>
          <w:sz w:val="32"/>
          <w:szCs w:val="32"/>
          <w:u w:color="FFFFFF" w:themeColor="background1"/>
        </w:rPr>
        <w:t>（类）</w:t>
      </w:r>
    </w:p>
    <w:p>
      <w:pPr>
        <w:pStyle w:val="10"/>
        <w:pageBreakBefore w:val="0"/>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color="FFFFFF" w:themeColor="background1"/>
        </w:rPr>
        <w:t>1．</w:t>
      </w:r>
      <w:r>
        <w:rPr>
          <w:rFonts w:hint="eastAsia" w:ascii="仿宋_GB2312" w:hAnsi="仿宋_GB2312" w:eastAsia="仿宋_GB2312" w:cs="仿宋_GB2312"/>
          <w:sz w:val="32"/>
          <w:szCs w:val="32"/>
          <w:u w:color="FFFFFF" w:themeColor="background1"/>
          <w:lang w:val="en-US" w:eastAsia="zh-CN"/>
        </w:rPr>
        <w:t>行政事业单位医疗</w:t>
      </w:r>
      <w:r>
        <w:rPr>
          <w:rFonts w:hint="eastAsia" w:ascii="仿宋_GB2312" w:hAnsi="仿宋_GB2312" w:eastAsia="仿宋_GB2312" w:cs="仿宋_GB2312"/>
          <w:sz w:val="32"/>
          <w:szCs w:val="32"/>
          <w:u w:color="FFFFFF" w:themeColor="background1"/>
        </w:rPr>
        <w:t>（款）</w:t>
      </w:r>
      <w:r>
        <w:rPr>
          <w:rFonts w:hint="eastAsia" w:ascii="仿宋_GB2312" w:hAnsi="仿宋_GB2312" w:eastAsia="仿宋_GB2312" w:cs="仿宋_GB2312"/>
          <w:sz w:val="32"/>
          <w:szCs w:val="32"/>
          <w:u w:color="FFFFFF" w:themeColor="background1"/>
          <w:lang w:val="en-US" w:eastAsia="zh-CN"/>
        </w:rPr>
        <w:t>行政单位医疗</w:t>
      </w:r>
      <w:r>
        <w:rPr>
          <w:rFonts w:hint="eastAsia" w:ascii="仿宋_GB2312" w:hAnsi="仿宋_GB2312" w:eastAsia="仿宋_GB2312" w:cs="仿宋_GB2312"/>
          <w:sz w:val="32"/>
          <w:szCs w:val="32"/>
          <w:u w:color="FFFFFF" w:themeColor="background1"/>
        </w:rPr>
        <w:t>（项）。年初预算</w:t>
      </w:r>
      <w:r>
        <w:rPr>
          <w:rFonts w:hint="eastAsia" w:ascii="仿宋_GB2312" w:hAnsi="仿宋_GB2312" w:eastAsia="仿宋_GB2312" w:cs="仿宋_GB2312"/>
          <w:sz w:val="32"/>
          <w:szCs w:val="32"/>
          <w:u w:val="none" w:color="FFFFFF" w:themeColor="background1"/>
          <w:lang w:val="en-US" w:eastAsia="zh-CN"/>
        </w:rPr>
        <w:t>31.19</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1.27</w:t>
      </w:r>
      <w:r>
        <w:rPr>
          <w:rFonts w:hint="eastAsia" w:ascii="仿宋_GB2312" w:hAnsi="仿宋_GB2312" w:eastAsia="仿宋_GB2312" w:cs="仿宋_GB2312"/>
          <w:sz w:val="32"/>
          <w:szCs w:val="32"/>
          <w:u w:val="none" w:color="FFFFFF" w:themeColor="background1"/>
        </w:rPr>
        <w:t>万元，增长</w:t>
      </w:r>
      <w:r>
        <w:rPr>
          <w:rFonts w:hint="eastAsia" w:ascii="仿宋_GB2312" w:hAnsi="仿宋_GB2312" w:eastAsia="仿宋_GB2312" w:cs="仿宋_GB2312"/>
          <w:sz w:val="32"/>
          <w:szCs w:val="32"/>
          <w:u w:val="none" w:color="FFFFFF" w:themeColor="background1"/>
          <w:lang w:val="en-US" w:eastAsia="zh-CN"/>
        </w:rPr>
        <w:t>4.24</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人员考录增加经费</w:t>
      </w:r>
      <w:r>
        <w:rPr>
          <w:rFonts w:hint="eastAsia" w:ascii="仿宋_GB2312" w:hAnsi="仿宋_GB2312" w:eastAsia="仿宋_GB2312" w:cs="仿宋_GB2312"/>
          <w:sz w:val="32"/>
          <w:szCs w:val="32"/>
          <w:u w:val="none" w:color="FFFFFF" w:themeColor="background1"/>
        </w:rPr>
        <w:t>。</w:t>
      </w:r>
    </w:p>
    <w:p>
      <w:pPr>
        <w:pStyle w:val="10"/>
        <w:pageBreakBefore w:val="0"/>
        <w:tabs>
          <w:tab w:val="left" w:pos="4275"/>
        </w:tabs>
        <w:kinsoku/>
        <w:wordWrap/>
        <w:overflowPunct/>
        <w:topLinePunct w:val="0"/>
        <w:autoSpaceDE/>
        <w:autoSpaceDN/>
        <w:bidi w:val="0"/>
        <w:spacing w:after="0" w:line="570" w:lineRule="exact"/>
        <w:ind w:firstLine="643" w:firstLineChars="200"/>
        <w:textAlignment w:val="auto"/>
        <w:rPr>
          <w:rFonts w:ascii="楷体" w:hAnsi="楷体" w:eastAsia="楷体" w:cs="楷体"/>
          <w:b/>
          <w:bCs/>
          <w:sz w:val="32"/>
          <w:szCs w:val="32"/>
          <w:u w:color="FFFFFF" w:themeColor="background1"/>
        </w:rPr>
      </w:pPr>
      <w:r>
        <w:rPr>
          <w:rFonts w:hint="eastAsia" w:ascii="楷体" w:hAnsi="楷体" w:eastAsia="楷体" w:cs="楷体"/>
          <w:b/>
          <w:bCs/>
          <w:sz w:val="32"/>
          <w:szCs w:val="32"/>
          <w:u w:color="FFFFFF" w:themeColor="background1"/>
        </w:rPr>
        <w:t>（</w:t>
      </w:r>
      <w:r>
        <w:rPr>
          <w:rFonts w:hint="eastAsia" w:ascii="楷体" w:hAnsi="楷体" w:eastAsia="楷体" w:cs="楷体"/>
          <w:b/>
          <w:bCs/>
          <w:sz w:val="32"/>
          <w:szCs w:val="32"/>
          <w:u w:color="FFFFFF" w:themeColor="background1"/>
          <w:lang w:val="en-US" w:eastAsia="zh-CN"/>
        </w:rPr>
        <w:t>三</w:t>
      </w:r>
      <w:r>
        <w:rPr>
          <w:rFonts w:hint="eastAsia" w:ascii="楷体" w:hAnsi="楷体" w:eastAsia="楷体" w:cs="楷体"/>
          <w:b/>
          <w:bCs/>
          <w:sz w:val="32"/>
          <w:szCs w:val="32"/>
          <w:u w:color="FFFFFF" w:themeColor="background1"/>
        </w:rPr>
        <w:t>）</w:t>
      </w:r>
      <w:r>
        <w:rPr>
          <w:rFonts w:hint="eastAsia" w:ascii="楷体" w:hAnsi="楷体" w:eastAsia="楷体" w:cs="楷体"/>
          <w:b/>
          <w:bCs/>
          <w:sz w:val="32"/>
          <w:szCs w:val="32"/>
          <w:u w:color="FFFFFF" w:themeColor="background1"/>
          <w:lang w:val="en-US" w:eastAsia="zh-CN"/>
        </w:rPr>
        <w:t>住房保障支出</w:t>
      </w:r>
      <w:r>
        <w:rPr>
          <w:rFonts w:hint="eastAsia" w:ascii="楷体" w:hAnsi="楷体" w:eastAsia="楷体" w:cs="楷体"/>
          <w:b/>
          <w:bCs/>
          <w:sz w:val="32"/>
          <w:szCs w:val="32"/>
          <w:u w:color="FFFFFF" w:themeColor="background1"/>
        </w:rPr>
        <w:t>（类）</w:t>
      </w:r>
    </w:p>
    <w:p>
      <w:pPr>
        <w:pStyle w:val="10"/>
        <w:pageBreakBefore w:val="0"/>
        <w:kinsoku/>
        <w:wordWrap/>
        <w:overflowPunct/>
        <w:topLinePunct w:val="0"/>
        <w:autoSpaceDE/>
        <w:autoSpaceDN/>
        <w:bidi w:val="0"/>
        <w:spacing w:after="0" w:line="570" w:lineRule="exact"/>
        <w:ind w:firstLine="640" w:firstLineChars="200"/>
        <w:textAlignment w:val="auto"/>
        <w:rPr>
          <w:rFonts w:hint="eastAsia" w:ascii="仿宋_GB2312" w:hAnsi="仿宋_GB2312" w:eastAsia="仿宋_GB2312" w:cs="仿宋_GB2312"/>
          <w:sz w:val="32"/>
          <w:szCs w:val="32"/>
          <w:u w:val="none" w:color="FFFFFF" w:themeColor="background1"/>
        </w:rPr>
      </w:pPr>
      <w:r>
        <w:rPr>
          <w:rFonts w:hint="eastAsia" w:ascii="仿宋_GB2312" w:hAnsi="仿宋_GB2312" w:eastAsia="仿宋_GB2312" w:cs="仿宋_GB2312"/>
          <w:sz w:val="32"/>
          <w:szCs w:val="32"/>
          <w:u w:color="FFFFFF" w:themeColor="background1"/>
        </w:rPr>
        <w:t>1．</w:t>
      </w:r>
      <w:r>
        <w:rPr>
          <w:rFonts w:hint="eastAsia" w:ascii="仿宋_GB2312" w:hAnsi="仿宋_GB2312" w:eastAsia="仿宋_GB2312" w:cs="仿宋_GB2312"/>
          <w:sz w:val="32"/>
          <w:szCs w:val="32"/>
          <w:u w:val="none" w:color="FFFFFF" w:themeColor="background1"/>
          <w:lang w:val="en-US" w:eastAsia="zh-CN"/>
        </w:rPr>
        <w:t>住房改革支出</w:t>
      </w:r>
      <w:r>
        <w:rPr>
          <w:rFonts w:hint="eastAsia" w:ascii="仿宋_GB2312" w:hAnsi="仿宋_GB2312" w:eastAsia="仿宋_GB2312" w:cs="仿宋_GB2312"/>
          <w:sz w:val="32"/>
          <w:szCs w:val="32"/>
          <w:u w:val="none" w:color="FFFFFF" w:themeColor="background1"/>
        </w:rPr>
        <w:t>（款）</w:t>
      </w:r>
      <w:r>
        <w:rPr>
          <w:rFonts w:hint="eastAsia" w:ascii="仿宋_GB2312" w:hAnsi="仿宋_GB2312" w:eastAsia="仿宋_GB2312" w:cs="仿宋_GB2312"/>
          <w:sz w:val="32"/>
          <w:szCs w:val="32"/>
          <w:u w:val="none" w:color="FFFFFF" w:themeColor="background1"/>
          <w:lang w:val="en-US" w:eastAsia="zh-CN"/>
        </w:rPr>
        <w:t>住房公积金</w:t>
      </w:r>
      <w:r>
        <w:rPr>
          <w:rFonts w:hint="eastAsia" w:ascii="仿宋_GB2312" w:hAnsi="仿宋_GB2312" w:eastAsia="仿宋_GB2312" w:cs="仿宋_GB2312"/>
          <w:sz w:val="32"/>
          <w:szCs w:val="32"/>
          <w:u w:val="none" w:color="FFFFFF" w:themeColor="background1"/>
        </w:rPr>
        <w:t>（项）。年初预算</w:t>
      </w:r>
      <w:r>
        <w:rPr>
          <w:rFonts w:hint="eastAsia" w:ascii="仿宋_GB2312" w:hAnsi="仿宋_GB2312" w:eastAsia="仿宋_GB2312" w:cs="仿宋_GB2312"/>
          <w:sz w:val="32"/>
          <w:szCs w:val="32"/>
          <w:u w:val="none" w:color="FFFFFF" w:themeColor="background1"/>
          <w:lang w:val="en-US" w:eastAsia="zh-CN"/>
        </w:rPr>
        <w:t>45.50</w:t>
      </w:r>
      <w:r>
        <w:rPr>
          <w:rFonts w:hint="eastAsia" w:ascii="仿宋_GB2312" w:hAnsi="仿宋_GB2312" w:eastAsia="仿宋_GB2312" w:cs="仿宋_GB2312"/>
          <w:sz w:val="32"/>
          <w:szCs w:val="32"/>
          <w:u w:val="none" w:color="FFFFFF" w:themeColor="background1"/>
        </w:rPr>
        <w:t>万元，与上年相比增加</w:t>
      </w:r>
      <w:r>
        <w:rPr>
          <w:rFonts w:hint="eastAsia" w:ascii="仿宋_GB2312" w:hAnsi="仿宋_GB2312" w:eastAsia="仿宋_GB2312" w:cs="仿宋_GB2312"/>
          <w:sz w:val="32"/>
          <w:szCs w:val="32"/>
          <w:u w:val="none" w:color="FFFFFF" w:themeColor="background1"/>
          <w:lang w:val="en-US" w:eastAsia="zh-CN"/>
        </w:rPr>
        <w:t>3.55</w:t>
      </w:r>
      <w:r>
        <w:rPr>
          <w:rFonts w:hint="eastAsia" w:ascii="仿宋_GB2312" w:hAnsi="仿宋_GB2312" w:eastAsia="仿宋_GB2312" w:cs="仿宋_GB2312"/>
          <w:sz w:val="32"/>
          <w:szCs w:val="32"/>
          <w:u w:val="none" w:color="FFFFFF" w:themeColor="background1"/>
        </w:rPr>
        <w:t>万元，增长</w:t>
      </w:r>
      <w:r>
        <w:rPr>
          <w:rFonts w:hint="eastAsia" w:ascii="仿宋_GB2312" w:hAnsi="仿宋_GB2312" w:eastAsia="仿宋_GB2312" w:cs="仿宋_GB2312"/>
          <w:sz w:val="32"/>
          <w:szCs w:val="32"/>
          <w:u w:val="none" w:color="FFFFFF" w:themeColor="background1"/>
          <w:lang w:val="en-US" w:eastAsia="zh-CN"/>
        </w:rPr>
        <w:t>8.46</w:t>
      </w:r>
      <w:r>
        <w:rPr>
          <w:rFonts w:hint="eastAsia" w:ascii="仿宋_GB2312" w:hAnsi="仿宋_GB2312" w:eastAsia="仿宋_GB2312" w:cs="仿宋_GB2312"/>
          <w:sz w:val="32"/>
          <w:szCs w:val="32"/>
          <w:u w:val="none" w:color="FFFFFF" w:themeColor="background1"/>
        </w:rPr>
        <w:t>%。变动原因：</w:t>
      </w:r>
      <w:r>
        <w:rPr>
          <w:rFonts w:hint="eastAsia" w:ascii="仿宋_GB2312" w:hAnsi="仿宋_GB2312" w:eastAsia="仿宋_GB2312" w:cs="仿宋_GB2312"/>
          <w:sz w:val="32"/>
          <w:szCs w:val="32"/>
          <w:u w:val="none" w:color="FFFFFF" w:themeColor="background1"/>
          <w:lang w:val="en-US" w:eastAsia="zh-CN"/>
        </w:rPr>
        <w:t>人员考录增加经费</w:t>
      </w:r>
      <w:r>
        <w:rPr>
          <w:rFonts w:hint="eastAsia" w:ascii="仿宋_GB2312" w:hAnsi="仿宋_GB2312" w:eastAsia="仿宋_GB2312" w:cs="仿宋_GB2312"/>
          <w:sz w:val="32"/>
          <w:szCs w:val="32"/>
          <w:u w:val="none" w:color="FFFFFF" w:themeColor="background1"/>
        </w:rPr>
        <w:t>。</w:t>
      </w:r>
    </w:p>
    <w:p>
      <w:pPr>
        <w:pageBreakBefore w:val="0"/>
        <w:kinsoku/>
        <w:wordWrap/>
        <w:overflowPunct/>
        <w:topLinePunct w:val="0"/>
        <w:bidi w:val="0"/>
        <w:spacing w:line="600" w:lineRule="exact"/>
        <w:ind w:firstLine="640" w:firstLineChars="200"/>
        <w:outlineLvl w:val="0"/>
        <w:rPr>
          <w:rFonts w:ascii="仿宋" w:hAnsi="仿宋" w:eastAsia="仿宋" w:cs="仿宋"/>
          <w:sz w:val="32"/>
          <w:szCs w:val="32"/>
          <w:highlight w:val="yellow"/>
          <w:u w:color="FFFFFF" w:themeColor="background1"/>
        </w:rPr>
      </w:pPr>
      <w:r>
        <w:rPr>
          <w:rFonts w:hint="eastAsia" w:eastAsia="黑体" w:cs="黑体"/>
          <w:b w:val="0"/>
          <w:bCs w:val="0"/>
          <w:sz w:val="32"/>
          <w:szCs w:val="36"/>
          <w:u w:color="FFFFFF" w:themeColor="background1"/>
        </w:rPr>
        <w:t>六、一般公共预算基本支出预算情况说明</w:t>
      </w:r>
    </w:p>
    <w:p>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val="single" w:color="FFFFFF" w:themeColor="background1"/>
          <w:lang w:val="en-US" w:eastAsia="zh-CN"/>
        </w:rPr>
        <w:t>包头市民政局</w:t>
      </w:r>
      <w:r>
        <w:rPr>
          <w:rFonts w:hint="eastAsia" w:eastAsia="仿宋_GB2312" w:cs="Times New Roman"/>
          <w:sz w:val="32"/>
          <w:szCs w:val="32"/>
          <w:u w:color="FFFFFF" w:themeColor="background1"/>
          <w:lang w:val="en-US" w:eastAsia="zh-CN"/>
        </w:rPr>
        <w:t>2023</w:t>
      </w:r>
      <w:r>
        <w:rPr>
          <w:rFonts w:hint="default" w:ascii="Times New Roman" w:hAnsi="Times New Roman" w:eastAsia="仿宋_GB2312" w:cs="Times New Roman"/>
          <w:sz w:val="32"/>
          <w:szCs w:val="32"/>
          <w:u w:color="FFFFFF" w:themeColor="background1"/>
        </w:rPr>
        <w:t>年度一般公共预算财政拨款基本支出预算</w:t>
      </w:r>
      <w:r>
        <w:rPr>
          <w:rFonts w:hint="eastAsia" w:eastAsia="仿宋_GB2312" w:cs="Times New Roman"/>
          <w:sz w:val="32"/>
          <w:szCs w:val="32"/>
          <w:u w:color="FFFFFF" w:themeColor="background1"/>
          <w:lang w:val="en-US" w:eastAsia="zh-CN"/>
        </w:rPr>
        <w:t>725.95</w:t>
      </w:r>
      <w:r>
        <w:rPr>
          <w:rFonts w:hint="default" w:ascii="Times New Roman" w:hAnsi="Times New Roman" w:eastAsia="仿宋_GB2312" w:cs="Times New Roman"/>
          <w:sz w:val="32"/>
          <w:szCs w:val="32"/>
          <w:u w:color="FFFFFF" w:themeColor="background1"/>
        </w:rPr>
        <w:t>万元，其中：</w:t>
      </w:r>
    </w:p>
    <w:p>
      <w:pPr>
        <w:pStyle w:val="10"/>
        <w:pageBreakBefore w:val="0"/>
        <w:tabs>
          <w:tab w:val="left" w:pos="2671"/>
          <w:tab w:val="left" w:pos="5000"/>
          <w:tab w:val="left" w:pos="6190"/>
        </w:tabs>
        <w:kinsoku/>
        <w:wordWrap/>
        <w:overflowPunct/>
        <w:topLinePunct w:val="0"/>
        <w:bidi w:val="0"/>
        <w:spacing w:after="0" w:line="600" w:lineRule="exact"/>
        <w:ind w:firstLine="643" w:firstLineChars="200"/>
        <w:rPr>
          <w:rFonts w:ascii="仿宋" w:hAnsi="仿宋" w:eastAsia="仿宋" w:cs="仿宋"/>
          <w:sz w:val="32"/>
          <w:szCs w:val="32"/>
          <w:highlight w:val="yellow"/>
          <w:u w:color="FFFFFF" w:themeColor="background1"/>
        </w:rPr>
      </w:pPr>
      <w:r>
        <w:rPr>
          <w:rFonts w:hint="default" w:ascii="Times New Roman" w:hAnsi="Times New Roman" w:eastAsia="仿宋_GB2312" w:cs="Times New Roman"/>
          <w:b/>
          <w:bCs/>
          <w:sz w:val="32"/>
          <w:szCs w:val="32"/>
          <w:u w:color="FFFFFF" w:themeColor="background1"/>
        </w:rPr>
        <w:t>（一）人员经费</w:t>
      </w:r>
      <w:r>
        <w:rPr>
          <w:rFonts w:hint="eastAsia" w:eastAsia="仿宋_GB2312" w:cs="Times New Roman"/>
          <w:b/>
          <w:bCs/>
          <w:sz w:val="32"/>
          <w:szCs w:val="32"/>
          <w:u w:val="single" w:color="FFFFFF" w:themeColor="background1"/>
          <w:lang w:val="en-US" w:eastAsia="zh-CN"/>
        </w:rPr>
        <w:t>710.22</w:t>
      </w:r>
      <w:r>
        <w:rPr>
          <w:rFonts w:hint="default" w:ascii="Times New Roman" w:hAnsi="Times New Roman" w:eastAsia="仿宋_GB2312" w:cs="Times New Roman"/>
          <w:b/>
          <w:bCs/>
          <w:sz w:val="32"/>
          <w:szCs w:val="32"/>
          <w:u w:color="FFFFFF" w:themeColor="background1"/>
        </w:rPr>
        <w:t>万元</w:t>
      </w:r>
      <w:r>
        <w:rPr>
          <w:rFonts w:hint="default" w:ascii="Times New Roman" w:hAnsi="Times New Roman" w:eastAsia="仿宋_GB2312" w:cs="Times New Roman"/>
          <w:sz w:val="32"/>
          <w:szCs w:val="32"/>
          <w:u w:color="FFFFFF" w:themeColor="background1"/>
        </w:rPr>
        <w:t>。主要包括：</w:t>
      </w:r>
      <w:r>
        <w:rPr>
          <w:rFonts w:ascii="仿宋" w:hAnsi="仿宋" w:eastAsia="仿宋" w:cs="仿宋"/>
          <w:color w:val="000000"/>
          <w:kern w:val="0"/>
          <w:sz w:val="31"/>
          <w:szCs w:val="31"/>
          <w:u w:color="FFFFFF" w:themeColor="background1"/>
          <w:lang w:val="en-US" w:eastAsia="zh-CN" w:bidi="ar"/>
        </w:rPr>
        <w:t xml:space="preserve">基本工资 </w:t>
      </w:r>
      <w:r>
        <w:rPr>
          <w:rFonts w:hint="eastAsia" w:ascii="仿宋" w:hAnsi="仿宋" w:eastAsia="仿宋" w:cs="仿宋"/>
          <w:color w:val="000000"/>
          <w:kern w:val="0"/>
          <w:sz w:val="31"/>
          <w:szCs w:val="31"/>
          <w:u w:color="FFFFFF" w:themeColor="background1"/>
          <w:lang w:val="en-US" w:eastAsia="zh-CN" w:bidi="ar"/>
        </w:rPr>
        <w:t>182.01万元、津贴补贴 214.41 万元、奖金105.79万元、机关事业单位基本养老保险缴费58.56万元、职工基本医疗保险缴费31.19万元、其他社会保障缴费0.73万元、住房公积金45.50万元、工会经费 7.32 万元、福利费 7.69 万元、退休费36.31万元、生活补助4.70万元、其他对个人和家庭的补助16.03万元。</w:t>
      </w:r>
      <w:r>
        <w:rPr>
          <w:rFonts w:hint="eastAsia" w:ascii="仿宋" w:hAnsi="仿宋" w:eastAsia="仿宋" w:cs="仿宋"/>
          <w:bCs/>
          <w:color w:val="auto"/>
          <w:sz w:val="32"/>
          <w:szCs w:val="32"/>
          <w:u w:color="FFFFFF" w:themeColor="background1"/>
        </w:rPr>
        <w:t xml:space="preserve"> </w:t>
      </w:r>
    </w:p>
    <w:p>
      <w:pPr>
        <w:pStyle w:val="10"/>
        <w:pageBreakBefore w:val="0"/>
        <w:tabs>
          <w:tab w:val="left" w:pos="2671"/>
          <w:tab w:val="left" w:pos="5000"/>
          <w:tab w:val="left" w:pos="6190"/>
        </w:tabs>
        <w:kinsoku/>
        <w:wordWrap/>
        <w:overflowPunct/>
        <w:topLinePunct w:val="0"/>
        <w:bidi w:val="0"/>
        <w:spacing w:after="0" w:line="600" w:lineRule="exact"/>
        <w:ind w:firstLine="643" w:firstLineChars="200"/>
        <w:rPr>
          <w:rFonts w:ascii="仿宋" w:hAnsi="仿宋" w:eastAsia="仿宋" w:cs="仿宋"/>
          <w:sz w:val="32"/>
          <w:szCs w:val="32"/>
          <w:highlight w:val="yellow"/>
          <w:u w:color="FFFFFF" w:themeColor="background1"/>
        </w:rPr>
      </w:pPr>
      <w:r>
        <w:rPr>
          <w:rFonts w:hint="default" w:ascii="Times New Roman" w:hAnsi="Times New Roman" w:eastAsia="仿宋_GB2312" w:cs="Times New Roman"/>
          <w:b/>
          <w:bCs/>
          <w:sz w:val="32"/>
          <w:szCs w:val="32"/>
          <w:u w:color="FFFFFF" w:themeColor="background1"/>
        </w:rPr>
        <w:t>（二）公用经费</w:t>
      </w:r>
      <w:r>
        <w:rPr>
          <w:rFonts w:hint="eastAsia" w:eastAsia="仿宋_GB2312" w:cs="Times New Roman"/>
          <w:b/>
          <w:bCs/>
          <w:sz w:val="32"/>
          <w:szCs w:val="32"/>
          <w:u w:val="single" w:color="FFFFFF" w:themeColor="background1"/>
          <w:lang w:val="en-US" w:eastAsia="zh-CN"/>
        </w:rPr>
        <w:t>15.72</w:t>
      </w:r>
      <w:r>
        <w:rPr>
          <w:rFonts w:hint="default" w:ascii="Times New Roman" w:hAnsi="Times New Roman" w:eastAsia="仿宋_GB2312" w:cs="Times New Roman"/>
          <w:b/>
          <w:bCs/>
          <w:sz w:val="32"/>
          <w:szCs w:val="32"/>
          <w:u w:color="FFFFFF" w:themeColor="background1"/>
        </w:rPr>
        <w:t>万元</w:t>
      </w:r>
      <w:r>
        <w:rPr>
          <w:rFonts w:hint="default" w:ascii="Times New Roman" w:hAnsi="Times New Roman" w:eastAsia="仿宋_GB2312" w:cs="Times New Roman"/>
          <w:sz w:val="32"/>
          <w:szCs w:val="32"/>
          <w:u w:color="FFFFFF" w:themeColor="background1"/>
        </w:rPr>
        <w:t>。主要包括：</w:t>
      </w:r>
      <w:r>
        <w:rPr>
          <w:rFonts w:hint="eastAsia" w:ascii="仿宋" w:hAnsi="仿宋" w:eastAsia="仿宋" w:cs="仿宋"/>
          <w:color w:val="000000"/>
          <w:kern w:val="0"/>
          <w:sz w:val="31"/>
          <w:szCs w:val="31"/>
          <w:u w:color="FFFFFF" w:themeColor="background1"/>
          <w:lang w:val="en-US" w:eastAsia="zh-CN" w:bidi="ar"/>
        </w:rPr>
        <w:t>办公费8.31 万元、差旅费 3 万元、会议费1万元、培训费1万元、公务接待费0.70万元、其他商品和服务支出 1.71 万元。</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color="FFFFFF" w:themeColor="background1"/>
        </w:rPr>
      </w:pPr>
      <w:r>
        <w:rPr>
          <w:rFonts w:hint="eastAsia" w:eastAsia="黑体" w:cs="黑体"/>
          <w:b w:val="0"/>
          <w:bCs w:val="0"/>
          <w:sz w:val="32"/>
          <w:szCs w:val="36"/>
          <w:u w:color="FFFFFF" w:themeColor="background1"/>
        </w:rPr>
        <w:t>七、一般公共预算“三公”经费支出预算情况说明</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val="single" w:color="FFFFFF" w:themeColor="background1"/>
          <w:lang w:val="en-US" w:eastAsia="zh-CN"/>
        </w:rPr>
        <w:t>包头市民政局2023</w:t>
      </w:r>
      <w:r>
        <w:rPr>
          <w:rFonts w:hint="default" w:ascii="Times New Roman" w:hAnsi="Times New Roman" w:eastAsia="仿宋_GB2312" w:cs="Times New Roman"/>
          <w:sz w:val="32"/>
          <w:szCs w:val="32"/>
          <w:u w:color="FFFFFF" w:themeColor="background1"/>
        </w:rPr>
        <w:t>年度一般公共预算拨款安排的“三公”经费预算支出</w:t>
      </w:r>
      <w:r>
        <w:rPr>
          <w:rFonts w:hint="eastAsia" w:ascii="仿宋" w:hAnsi="仿宋" w:eastAsia="仿宋" w:cs="仿宋"/>
          <w:color w:val="auto"/>
          <w:sz w:val="32"/>
          <w:szCs w:val="32"/>
          <w:u w:color="FFFFFF" w:themeColor="background1"/>
          <w:lang w:val="en-US" w:eastAsia="zh-CN"/>
        </w:rPr>
        <w:t>0.70</w:t>
      </w:r>
      <w:r>
        <w:rPr>
          <w:rFonts w:hint="default" w:ascii="Times New Roman" w:hAnsi="Times New Roman" w:eastAsia="仿宋_GB2312" w:cs="Times New Roman"/>
          <w:sz w:val="32"/>
          <w:szCs w:val="32"/>
          <w:u w:color="FFFFFF" w:themeColor="background1"/>
        </w:rPr>
        <w:t>万元，其中因公出国（境）费支出</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万元，占“三公”经费的</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%；公务用车购置及运行维护费支出</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万元，占“三公”经费的</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%；公务接待费支出</w:t>
      </w:r>
      <w:r>
        <w:rPr>
          <w:rFonts w:hint="eastAsia" w:eastAsia="仿宋_GB2312" w:cs="Times New Roman"/>
          <w:sz w:val="32"/>
          <w:szCs w:val="32"/>
          <w:u w:val="single" w:color="FFFFFF" w:themeColor="background1"/>
          <w:lang w:val="en-US" w:eastAsia="zh-CN"/>
        </w:rPr>
        <w:t>0.70</w:t>
      </w:r>
      <w:r>
        <w:rPr>
          <w:rFonts w:hint="default" w:ascii="Times New Roman" w:hAnsi="Times New Roman" w:eastAsia="仿宋_GB2312" w:cs="Times New Roman"/>
          <w:sz w:val="32"/>
          <w:szCs w:val="32"/>
          <w:u w:color="FFFFFF" w:themeColor="background1"/>
        </w:rPr>
        <w:t>万元，占“三公”经费的</w:t>
      </w:r>
      <w:r>
        <w:rPr>
          <w:rFonts w:hint="eastAsia" w:eastAsia="仿宋_GB2312" w:cs="Times New Roman"/>
          <w:sz w:val="32"/>
          <w:szCs w:val="32"/>
          <w:u w:val="single" w:color="FFFFFF" w:themeColor="background1"/>
          <w:lang w:val="en-US" w:eastAsia="zh-CN"/>
        </w:rPr>
        <w:t>100</w:t>
      </w:r>
      <w:r>
        <w:rPr>
          <w:rFonts w:hint="default" w:ascii="Times New Roman" w:hAnsi="Times New Roman" w:eastAsia="仿宋_GB2312" w:cs="Times New Roman"/>
          <w:sz w:val="32"/>
          <w:szCs w:val="32"/>
          <w:u w:color="FFFFFF" w:themeColor="background1"/>
        </w:rPr>
        <w:t>%。具体情况如下：</w:t>
      </w:r>
    </w:p>
    <w:p>
      <w:pPr>
        <w:pageBreakBefore w:val="0"/>
        <w:numPr>
          <w:ilvl w:val="0"/>
          <w:numId w:val="0"/>
        </w:numPr>
        <w:pBdr>
          <w:bottom w:val="single" w:color="FFFFFF" w:sz="4" w:space="30"/>
        </w:pBdr>
        <w:kinsoku/>
        <w:wordWrap/>
        <w:overflowPunct/>
        <w:topLinePunct w:val="0"/>
        <w:bidi w:val="0"/>
        <w:snapToGrid w:val="0"/>
        <w:spacing w:line="570" w:lineRule="exact"/>
        <w:ind w:firstLine="640" w:firstLineChars="200"/>
        <w:rPr>
          <w:rFonts w:hint="default" w:ascii="Times New Roman" w:hAnsi="Times New Roman" w:eastAsia="仿宋_GB2312" w:cs="Times New Roman"/>
          <w:spacing w:val="-4"/>
          <w:sz w:val="32"/>
          <w:szCs w:val="32"/>
          <w:u w:color="FFFFFF" w:themeColor="background1"/>
        </w:rPr>
      </w:pPr>
      <w:r>
        <w:rPr>
          <w:rFonts w:hint="default" w:ascii="Times New Roman" w:hAnsi="Times New Roman" w:eastAsia="仿宋_GB2312" w:cs="Times New Roman"/>
          <w:sz w:val="32"/>
          <w:szCs w:val="32"/>
          <w:u w:color="FFFFFF" w:themeColor="background1"/>
        </w:rPr>
        <w:t>一般公共预算拨款安排的“三公”经费预算支出</w:t>
      </w:r>
      <w:r>
        <w:rPr>
          <w:rFonts w:hint="eastAsia" w:eastAsia="仿宋_GB2312" w:cs="Times New Roman"/>
          <w:sz w:val="32"/>
          <w:szCs w:val="32"/>
          <w:u w:val="single" w:color="FFFFFF" w:themeColor="background1"/>
          <w:lang w:val="en-US" w:eastAsia="zh-CN"/>
        </w:rPr>
        <w:t>0.70</w:t>
      </w:r>
      <w:r>
        <w:rPr>
          <w:rFonts w:hint="default" w:ascii="Times New Roman" w:hAnsi="Times New Roman" w:eastAsia="仿宋_GB2312" w:cs="Times New Roman"/>
          <w:spacing w:val="-4"/>
          <w:sz w:val="32"/>
          <w:szCs w:val="32"/>
          <w:u w:color="FFFFFF" w:themeColor="background1"/>
        </w:rPr>
        <w:t>万元，</w:t>
      </w:r>
      <w:r>
        <w:rPr>
          <w:rFonts w:hint="default" w:ascii="Times New Roman" w:hAnsi="Times New Roman" w:eastAsia="仿宋_GB2312" w:cs="Times New Roman"/>
          <w:sz w:val="32"/>
          <w:szCs w:val="32"/>
          <w:u w:color="FFFFFF" w:themeColor="background1"/>
        </w:rPr>
        <w:t>比上年预算减少</w:t>
      </w:r>
      <w:r>
        <w:rPr>
          <w:rFonts w:hint="eastAsia" w:eastAsia="仿宋_GB2312" w:cs="Times New Roman"/>
          <w:sz w:val="32"/>
          <w:szCs w:val="32"/>
          <w:u w:val="single" w:color="FFFFFF" w:themeColor="background1"/>
          <w:lang w:val="en-US" w:eastAsia="zh-CN"/>
        </w:rPr>
        <w:t>0.10</w:t>
      </w:r>
      <w:r>
        <w:rPr>
          <w:rFonts w:hint="default" w:ascii="Times New Roman" w:hAnsi="Times New Roman" w:eastAsia="仿宋_GB2312" w:cs="Times New Roman"/>
          <w:sz w:val="32"/>
          <w:szCs w:val="32"/>
          <w:u w:color="FFFFFF" w:themeColor="background1"/>
        </w:rPr>
        <w:t>万元，</w:t>
      </w:r>
      <w:r>
        <w:rPr>
          <w:rFonts w:hint="default" w:ascii="Times New Roman" w:hAnsi="Times New Roman" w:eastAsia="仿宋_GB2312" w:cs="Times New Roman"/>
          <w:spacing w:val="-6"/>
          <w:sz w:val="32"/>
          <w:szCs w:val="32"/>
          <w:u w:color="FFFFFF" w:themeColor="background1"/>
        </w:rPr>
        <w:t>；</w:t>
      </w:r>
      <w:r>
        <w:rPr>
          <w:rFonts w:hint="default" w:ascii="Times New Roman" w:hAnsi="Times New Roman" w:eastAsia="仿宋_GB2312" w:cs="Times New Roman"/>
          <w:spacing w:val="-4"/>
          <w:sz w:val="32"/>
          <w:szCs w:val="32"/>
          <w:u w:color="FFFFFF" w:themeColor="background1"/>
        </w:rPr>
        <w:t>其中：</w:t>
      </w:r>
    </w:p>
    <w:p>
      <w:pPr>
        <w:pageBreakBefore w:val="0"/>
        <w:numPr>
          <w:ilvl w:val="0"/>
          <w:numId w:val="4"/>
        </w:numPr>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color w:val="auto"/>
          <w:sz w:val="32"/>
          <w:szCs w:val="32"/>
          <w:u w:color="FFFFFF" w:themeColor="background1"/>
        </w:rPr>
      </w:pPr>
      <w:r>
        <w:rPr>
          <w:rFonts w:hint="default" w:ascii="Times New Roman" w:hAnsi="Times New Roman" w:eastAsia="仿宋_GB2312" w:cs="Times New Roman"/>
          <w:sz w:val="32"/>
          <w:szCs w:val="32"/>
          <w:u w:color="FFFFFF" w:themeColor="background1"/>
        </w:rPr>
        <w:t>因公出国（境）费预算支出</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万元，比上年预算增加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万元，主要原因</w:t>
      </w:r>
      <w:r>
        <w:rPr>
          <w:rFonts w:hint="eastAsia" w:ascii="仿宋_GB2312" w:hAnsi="仿宋_GB2312" w:eastAsia="仿宋_GB2312" w:cs="仿宋_GB2312"/>
          <w:color w:val="auto"/>
          <w:sz w:val="32"/>
          <w:szCs w:val="32"/>
          <w:u w:color="FFFFFF" w:themeColor="background1"/>
          <w:lang w:eastAsia="zh-CN"/>
        </w:rPr>
        <w:t>无因公出国（境）费用</w:t>
      </w:r>
      <w:r>
        <w:rPr>
          <w:rFonts w:hint="eastAsia" w:ascii="仿宋_GB2312" w:hAnsi="仿宋_GB2312" w:eastAsia="仿宋_GB2312" w:cs="仿宋_GB2312"/>
          <w:color w:val="auto"/>
          <w:sz w:val="32"/>
          <w:szCs w:val="32"/>
          <w:u w:color="FFFFFF" w:themeColor="background1"/>
        </w:rPr>
        <w:t>。</w:t>
      </w:r>
    </w:p>
    <w:p>
      <w:pPr>
        <w:pageBreakBefore w:val="0"/>
        <w:numPr>
          <w:ilvl w:val="0"/>
          <w:numId w:val="4"/>
        </w:numPr>
        <w:pBdr>
          <w:bottom w:val="single" w:color="FFFFFF" w:sz="4" w:space="30"/>
        </w:pBdr>
        <w:kinsoku/>
        <w:wordWrap/>
        <w:overflowPunct/>
        <w:topLinePunct w:val="0"/>
        <w:bidi w:val="0"/>
        <w:snapToGrid w:val="0"/>
        <w:spacing w:line="570" w:lineRule="exact"/>
        <w:ind w:left="0" w:leftChars="0"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公务用车购置及运行维护费预算支出</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万元。其中：</w:t>
      </w:r>
    </w:p>
    <w:p>
      <w:pPr>
        <w:pageBreakBefore w:val="0"/>
        <w:numPr>
          <w:ilvl w:val="0"/>
          <w:numId w:val="0"/>
        </w:numPr>
        <w:pBdr>
          <w:bottom w:val="single" w:color="FFFFFF" w:sz="4" w:space="30"/>
        </w:pBdr>
        <w:kinsoku/>
        <w:wordWrap/>
        <w:overflowPunct/>
        <w:topLinePunct w:val="0"/>
        <w:bidi w:val="0"/>
        <w:snapToGrid w:val="0"/>
        <w:spacing w:line="570" w:lineRule="exact"/>
        <w:ind w:firstLine="640" w:firstLineChars="200"/>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color="FFFFFF" w:themeColor="background1"/>
          <w:lang w:eastAsia="zh-CN"/>
        </w:rPr>
        <w:t>（</w:t>
      </w:r>
      <w:r>
        <w:rPr>
          <w:rFonts w:hint="eastAsia" w:eastAsia="仿宋_GB2312" w:cs="Times New Roman"/>
          <w:sz w:val="32"/>
          <w:szCs w:val="32"/>
          <w:u w:color="FFFFFF" w:themeColor="background1"/>
          <w:lang w:val="en-US" w:eastAsia="zh-CN"/>
        </w:rPr>
        <w:t>1）</w:t>
      </w:r>
      <w:r>
        <w:rPr>
          <w:rFonts w:hint="default" w:ascii="Times New Roman" w:hAnsi="Times New Roman" w:eastAsia="仿宋_GB2312" w:cs="Times New Roman"/>
          <w:sz w:val="32"/>
          <w:szCs w:val="32"/>
          <w:u w:color="FFFFFF" w:themeColor="background1"/>
        </w:rPr>
        <w:t>公务用车购置预算支出</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万元，比上年预算增加</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万元，主要原因</w:t>
      </w:r>
      <w:r>
        <w:rPr>
          <w:rFonts w:hint="eastAsia" w:ascii="仿宋_GB2312" w:hAnsi="仿宋_GB2312" w:eastAsia="仿宋_GB2312" w:cs="仿宋_GB2312"/>
          <w:color w:val="auto"/>
          <w:sz w:val="32"/>
          <w:szCs w:val="32"/>
          <w:u w:color="FFFFFF" w:themeColor="background1"/>
          <w:lang w:eastAsia="zh-CN"/>
        </w:rPr>
        <w:t>无购置公车</w:t>
      </w:r>
      <w:r>
        <w:rPr>
          <w:rFonts w:hint="default" w:ascii="Times New Roman" w:hAnsi="Times New Roman" w:eastAsia="仿宋_GB2312" w:cs="Times New Roman"/>
          <w:sz w:val="32"/>
          <w:szCs w:val="32"/>
          <w:u w:color="FFFFFF" w:themeColor="background1"/>
        </w:rPr>
        <w:t>。</w:t>
      </w:r>
    </w:p>
    <w:p>
      <w:pPr>
        <w:pageBreakBefore w:val="0"/>
        <w:numPr>
          <w:ilvl w:val="0"/>
          <w:numId w:val="0"/>
        </w:numPr>
        <w:pBdr>
          <w:bottom w:val="single" w:color="FFFFFF" w:sz="4" w:space="30"/>
        </w:pBdr>
        <w:kinsoku/>
        <w:wordWrap/>
        <w:overflowPunct/>
        <w:topLinePunct w:val="0"/>
        <w:bidi w:val="0"/>
        <w:snapToGrid w:val="0"/>
        <w:spacing w:line="570" w:lineRule="exact"/>
        <w:ind w:firstLine="640" w:firstLineChars="200"/>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color="FFFFFF" w:themeColor="background1"/>
          <w:lang w:eastAsia="zh-CN"/>
        </w:rPr>
        <w:t>（</w:t>
      </w:r>
      <w:r>
        <w:rPr>
          <w:rFonts w:hint="eastAsia" w:eastAsia="仿宋_GB2312" w:cs="Times New Roman"/>
          <w:sz w:val="32"/>
          <w:szCs w:val="32"/>
          <w:u w:color="FFFFFF" w:themeColor="background1"/>
          <w:lang w:val="en-US" w:eastAsia="zh-CN"/>
        </w:rPr>
        <w:t>2）</w:t>
      </w:r>
      <w:r>
        <w:rPr>
          <w:rFonts w:hint="default" w:ascii="Times New Roman" w:hAnsi="Times New Roman" w:eastAsia="仿宋_GB2312" w:cs="Times New Roman"/>
          <w:sz w:val="32"/>
          <w:szCs w:val="32"/>
          <w:u w:color="FFFFFF" w:themeColor="background1"/>
        </w:rPr>
        <w:t>公务用车运行维护费预算支出</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万元，比上年预算减少</w:t>
      </w:r>
      <w:r>
        <w:rPr>
          <w:rFonts w:hint="eastAsia" w:eastAsia="仿宋_GB2312" w:cs="Times New Roman"/>
          <w:sz w:val="32"/>
          <w:szCs w:val="32"/>
          <w:u w:color="FFFFFF" w:themeColor="background1"/>
          <w:lang w:val="en-US" w:eastAsia="zh-CN"/>
        </w:rPr>
        <w:t>0</w:t>
      </w:r>
      <w:r>
        <w:rPr>
          <w:rFonts w:hint="default" w:ascii="Times New Roman" w:hAnsi="Times New Roman" w:eastAsia="仿宋_GB2312" w:cs="Times New Roman"/>
          <w:sz w:val="32"/>
          <w:szCs w:val="32"/>
          <w:u w:color="FFFFFF" w:themeColor="background1"/>
        </w:rPr>
        <w:t>万元，主要原因</w:t>
      </w:r>
      <w:r>
        <w:rPr>
          <w:rFonts w:hint="eastAsia" w:eastAsia="仿宋_GB2312" w:cs="Times New Roman"/>
          <w:sz w:val="32"/>
          <w:szCs w:val="32"/>
          <w:u w:color="FFFFFF" w:themeColor="background1"/>
          <w:lang w:val="en-US" w:eastAsia="zh-CN"/>
        </w:rPr>
        <w:t>无公务用车购置费</w:t>
      </w:r>
      <w:r>
        <w:rPr>
          <w:rFonts w:hint="default" w:ascii="Times New Roman" w:hAnsi="Times New Roman" w:eastAsia="仿宋_GB2312" w:cs="Times New Roman"/>
          <w:sz w:val="32"/>
          <w:szCs w:val="32"/>
          <w:u w:color="FFFFFF" w:themeColor="background1"/>
        </w:rPr>
        <w:t>。</w:t>
      </w:r>
    </w:p>
    <w:p>
      <w:pPr>
        <w:pageBreakBefore w:val="0"/>
        <w:numPr>
          <w:ilvl w:val="0"/>
          <w:numId w:val="0"/>
        </w:numPr>
        <w:pBdr>
          <w:bottom w:val="single" w:color="FFFFFF" w:sz="4" w:space="30"/>
        </w:pBdr>
        <w:kinsoku/>
        <w:wordWrap/>
        <w:overflowPunct/>
        <w:topLinePunct w:val="0"/>
        <w:bidi w:val="0"/>
        <w:snapToGrid w:val="0"/>
        <w:spacing w:line="570" w:lineRule="exact"/>
        <w:ind w:firstLine="640" w:firstLineChars="200"/>
        <w:rPr>
          <w:rFonts w:hint="eastAsia" w:ascii="Times New Roman" w:hAnsi="Times New Roman" w:eastAsia="仿宋_GB2312" w:cs="Times New Roman"/>
          <w:i/>
          <w:iCs/>
          <w:sz w:val="32"/>
          <w:szCs w:val="32"/>
          <w:highlight w:val="yellow"/>
          <w:u w:color="FFFFFF" w:themeColor="background1"/>
          <w:lang w:eastAsia="zh-CN"/>
        </w:rPr>
      </w:pPr>
      <w:r>
        <w:rPr>
          <w:rFonts w:hint="default" w:ascii="Times New Roman" w:hAnsi="Times New Roman" w:eastAsia="仿宋_GB2312" w:cs="Times New Roman"/>
          <w:sz w:val="32"/>
          <w:szCs w:val="32"/>
          <w:u w:color="FFFFFF" w:themeColor="background1"/>
        </w:rPr>
        <w:t>3．公务接待费预算支出</w:t>
      </w:r>
      <w:r>
        <w:rPr>
          <w:rFonts w:hint="eastAsia" w:eastAsia="仿宋_GB2312" w:cs="Times New Roman"/>
          <w:sz w:val="32"/>
          <w:szCs w:val="32"/>
          <w:u w:val="single" w:color="FFFFFF" w:themeColor="background1"/>
          <w:lang w:val="en-US" w:eastAsia="zh-CN"/>
        </w:rPr>
        <w:t>0.70</w:t>
      </w:r>
      <w:r>
        <w:rPr>
          <w:rFonts w:hint="default" w:ascii="Times New Roman" w:hAnsi="Times New Roman" w:eastAsia="仿宋_GB2312" w:cs="Times New Roman"/>
          <w:sz w:val="32"/>
          <w:szCs w:val="32"/>
          <w:u w:color="FFFFFF" w:themeColor="background1"/>
        </w:rPr>
        <w:t>万元，比上年预算</w:t>
      </w:r>
      <w:r>
        <w:rPr>
          <w:rFonts w:hint="eastAsia" w:eastAsia="仿宋_GB2312" w:cs="Times New Roman"/>
          <w:sz w:val="32"/>
          <w:szCs w:val="32"/>
          <w:u w:color="FFFFFF" w:themeColor="background1"/>
          <w:lang w:val="en-US" w:eastAsia="zh-CN"/>
        </w:rPr>
        <w:t>减少0.10万元</w:t>
      </w:r>
      <w:r>
        <w:rPr>
          <w:rFonts w:hint="default" w:ascii="Times New Roman" w:hAnsi="Times New Roman" w:eastAsia="仿宋_GB2312" w:cs="Times New Roman"/>
          <w:sz w:val="32"/>
          <w:szCs w:val="32"/>
          <w:u w:color="FFFFFF" w:themeColor="background1"/>
        </w:rPr>
        <w:t>，主要原因</w:t>
      </w:r>
      <w:r>
        <w:rPr>
          <w:rFonts w:hint="eastAsia" w:eastAsia="仿宋_GB2312" w:cs="Times New Roman"/>
          <w:sz w:val="32"/>
          <w:szCs w:val="32"/>
          <w:u w:color="FFFFFF" w:themeColor="background1"/>
          <w:lang w:val="en-US" w:eastAsia="zh-CN"/>
        </w:rPr>
        <w:t>缩减三公经费</w:t>
      </w:r>
      <w:r>
        <w:rPr>
          <w:rFonts w:hint="default" w:ascii="Times New Roman" w:hAnsi="Times New Roman" w:eastAsia="仿宋_GB2312" w:cs="Times New Roman"/>
          <w:sz w:val="32"/>
          <w:szCs w:val="32"/>
          <w:u w:color="FFFFFF" w:themeColor="background1"/>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color="FFFFFF" w:themeColor="background1"/>
        </w:rPr>
      </w:pPr>
      <w:r>
        <w:rPr>
          <w:rFonts w:hint="eastAsia" w:eastAsia="黑体" w:cs="黑体"/>
          <w:b w:val="0"/>
          <w:bCs w:val="0"/>
          <w:sz w:val="32"/>
          <w:szCs w:val="36"/>
          <w:u w:color="FFFFFF" w:themeColor="background1"/>
        </w:rPr>
        <w:t>八、政府性基金预算支出预算情况说明</w:t>
      </w:r>
    </w:p>
    <w:p>
      <w:pPr>
        <w:pStyle w:val="10"/>
        <w:pageBreakBefore w:val="0"/>
        <w:kinsoku/>
        <w:wordWrap/>
        <w:overflowPunct/>
        <w:topLinePunct w:val="0"/>
        <w:bidi w:val="0"/>
        <w:spacing w:after="0" w:line="600" w:lineRule="exact"/>
        <w:ind w:left="17" w:leftChars="8" w:firstLine="640" w:firstLineChars="200"/>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val="single" w:color="FFFFFF" w:themeColor="background1"/>
          <w:lang w:val="en-US" w:eastAsia="zh-CN"/>
        </w:rPr>
        <w:t>包头市民政局2023</w:t>
      </w:r>
      <w:r>
        <w:rPr>
          <w:rFonts w:hint="default" w:ascii="Times New Roman" w:hAnsi="Times New Roman" w:eastAsia="仿宋_GB2312" w:cs="Times New Roman"/>
          <w:sz w:val="32"/>
          <w:szCs w:val="32"/>
          <w:u w:color="FFFFFF" w:themeColor="background1"/>
        </w:rPr>
        <w:t>年政府性基金支出预算支出</w:t>
      </w:r>
      <w:r>
        <w:rPr>
          <w:rFonts w:hint="eastAsia" w:eastAsia="仿宋_GB2312" w:cs="Times New Roman"/>
          <w:sz w:val="32"/>
          <w:szCs w:val="32"/>
          <w:u w:val="single" w:color="FFFFFF" w:themeColor="background1"/>
          <w:lang w:val="en-US" w:eastAsia="zh-CN"/>
        </w:rPr>
        <w:t>800</w:t>
      </w:r>
      <w:r>
        <w:rPr>
          <w:rFonts w:hint="default" w:ascii="Times New Roman" w:hAnsi="Times New Roman" w:eastAsia="仿宋_GB2312" w:cs="Times New Roman"/>
          <w:sz w:val="32"/>
          <w:szCs w:val="32"/>
          <w:u w:color="FFFFFF" w:themeColor="background1"/>
        </w:rPr>
        <w:t>万元。与上年相比增加</w:t>
      </w:r>
      <w:r>
        <w:rPr>
          <w:rFonts w:hint="eastAsia" w:eastAsia="仿宋_GB2312" w:cs="Times New Roman"/>
          <w:sz w:val="32"/>
          <w:szCs w:val="32"/>
          <w:u w:color="FFFFFF" w:themeColor="background1"/>
          <w:lang w:val="en-US" w:eastAsia="zh-CN"/>
        </w:rPr>
        <w:t>784.46</w:t>
      </w:r>
      <w:r>
        <w:rPr>
          <w:rFonts w:hint="default" w:ascii="Times New Roman" w:hAnsi="Times New Roman" w:eastAsia="仿宋_GB2312" w:cs="Times New Roman"/>
          <w:sz w:val="32"/>
          <w:szCs w:val="32"/>
          <w:u w:color="FFFFFF" w:themeColor="background1"/>
        </w:rPr>
        <w:t>万元，增长</w:t>
      </w:r>
      <w:r>
        <w:rPr>
          <w:rFonts w:hint="eastAsia" w:eastAsia="仿宋_GB2312" w:cs="Times New Roman"/>
          <w:sz w:val="32"/>
          <w:szCs w:val="32"/>
          <w:u w:color="FFFFFF" w:themeColor="background1"/>
          <w:lang w:val="en-US" w:eastAsia="zh-CN"/>
        </w:rPr>
        <w:t>5048.01</w:t>
      </w:r>
      <w:r>
        <w:rPr>
          <w:rFonts w:hint="default" w:ascii="Times New Roman" w:hAnsi="Times New Roman" w:eastAsia="仿宋_GB2312" w:cs="Times New Roman"/>
          <w:sz w:val="32"/>
          <w:szCs w:val="32"/>
          <w:u w:color="FFFFFF" w:themeColor="background1"/>
        </w:rPr>
        <w:t>%。主要原因是</w:t>
      </w:r>
      <w:r>
        <w:rPr>
          <w:rFonts w:hint="eastAsia" w:eastAsia="仿宋_GB2312" w:cs="Times New Roman"/>
          <w:sz w:val="32"/>
          <w:szCs w:val="32"/>
          <w:u w:color="FFFFFF" w:themeColor="background1"/>
          <w:lang w:val="en-US" w:eastAsia="zh-CN"/>
        </w:rPr>
        <w:t>2023年拨入福彩公益金</w:t>
      </w:r>
      <w:r>
        <w:rPr>
          <w:rFonts w:hint="default" w:ascii="Times New Roman" w:hAnsi="Times New Roman" w:eastAsia="仿宋_GB2312" w:cs="Times New Roman"/>
          <w:sz w:val="32"/>
          <w:szCs w:val="32"/>
          <w:u w:color="FFFFFF" w:themeColor="background1"/>
        </w:rPr>
        <w:t>。</w:t>
      </w:r>
    </w:p>
    <w:p>
      <w:pPr>
        <w:pStyle w:val="10"/>
        <w:pageBreakBefore w:val="0"/>
        <w:kinsoku/>
        <w:wordWrap/>
        <w:overflowPunct/>
        <w:topLinePunct w:val="0"/>
        <w:bidi w:val="0"/>
        <w:spacing w:after="0" w:line="570" w:lineRule="exact"/>
        <w:ind w:left="17" w:leftChars="8"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其中：</w:t>
      </w:r>
    </w:p>
    <w:p>
      <w:pPr>
        <w:pStyle w:val="10"/>
        <w:pageBreakBefore w:val="0"/>
        <w:kinsoku/>
        <w:wordWrap/>
        <w:overflowPunct/>
        <w:topLinePunct w:val="0"/>
        <w:bidi w:val="0"/>
        <w:spacing w:after="0" w:line="570" w:lineRule="exact"/>
        <w:ind w:left="17" w:leftChars="8" w:firstLine="640" w:firstLineChars="200"/>
        <w:rPr>
          <w:rFonts w:hint="default" w:ascii="Times New Roman" w:hAnsi="Times New Roman" w:eastAsia="仿宋_GB2312" w:cs="Times New Roman"/>
          <w:sz w:val="32"/>
          <w:szCs w:val="32"/>
          <w:u w:color="FFFFFF" w:themeColor="background1"/>
        </w:rPr>
      </w:pPr>
      <w:r>
        <w:rPr>
          <w:rFonts w:hint="default" w:ascii="Times New Roman" w:hAnsi="Times New Roman" w:eastAsia="仿宋_GB2312" w:cs="Times New Roman"/>
          <w:sz w:val="32"/>
          <w:szCs w:val="32"/>
          <w:u w:color="FFFFFF" w:themeColor="background1"/>
        </w:rPr>
        <w:t>1．</w:t>
      </w:r>
      <w:r>
        <w:rPr>
          <w:rFonts w:hint="eastAsia" w:ascii="仿宋_GB2312" w:hAnsi="仿宋_GB2312" w:eastAsia="仿宋_GB2312" w:cs="仿宋_GB2312"/>
          <w:sz w:val="32"/>
          <w:szCs w:val="32"/>
          <w:u w:val="none" w:color="FFFFFF" w:themeColor="background1"/>
          <w:lang w:val="en-US" w:eastAsia="zh-CN"/>
        </w:rPr>
        <w:t>彩票公益金安排的支出</w:t>
      </w:r>
      <w:r>
        <w:rPr>
          <w:rFonts w:hint="eastAsia" w:ascii="仿宋_GB2312" w:hAnsi="仿宋_GB2312" w:eastAsia="仿宋_GB2312" w:cs="仿宋_GB2312"/>
          <w:sz w:val="32"/>
          <w:szCs w:val="32"/>
          <w:u w:val="none" w:color="FFFFFF" w:themeColor="background1"/>
        </w:rPr>
        <w:t>（款）</w:t>
      </w:r>
      <w:r>
        <w:rPr>
          <w:rFonts w:hint="eastAsia" w:ascii="仿宋_GB2312" w:hAnsi="仿宋_GB2312" w:eastAsia="仿宋_GB2312" w:cs="仿宋_GB2312"/>
          <w:sz w:val="32"/>
          <w:szCs w:val="32"/>
          <w:u w:val="none" w:color="FFFFFF" w:themeColor="background1"/>
          <w:lang w:val="en-US" w:eastAsia="zh-CN"/>
        </w:rPr>
        <w:t>用于社会福利的彩票公益金支出</w:t>
      </w:r>
      <w:r>
        <w:rPr>
          <w:rFonts w:hint="eastAsia" w:ascii="仿宋_GB2312" w:hAnsi="仿宋_GB2312" w:eastAsia="仿宋_GB2312" w:cs="仿宋_GB2312"/>
          <w:sz w:val="32"/>
          <w:szCs w:val="32"/>
          <w:u w:val="none" w:color="FFFFFF" w:themeColor="background1"/>
        </w:rPr>
        <w:t>（项）。年初预算</w:t>
      </w:r>
      <w:r>
        <w:rPr>
          <w:rFonts w:hint="eastAsia" w:ascii="仿宋_GB2312" w:hAnsi="仿宋_GB2312" w:eastAsia="仿宋_GB2312" w:cs="仿宋_GB2312"/>
          <w:sz w:val="32"/>
          <w:szCs w:val="32"/>
          <w:u w:val="none" w:color="FFFFFF" w:themeColor="background1"/>
          <w:lang w:val="en-US" w:eastAsia="zh-CN"/>
        </w:rPr>
        <w:t>800</w:t>
      </w:r>
      <w:r>
        <w:rPr>
          <w:rFonts w:hint="eastAsia" w:ascii="仿宋_GB2312" w:hAnsi="仿宋_GB2312" w:eastAsia="仿宋_GB2312" w:cs="仿宋_GB2312"/>
          <w:sz w:val="32"/>
          <w:szCs w:val="32"/>
          <w:u w:val="none" w:color="FFFFFF" w:themeColor="background1"/>
        </w:rPr>
        <w:t>万元，</w:t>
      </w:r>
      <w:r>
        <w:rPr>
          <w:rFonts w:hint="default" w:ascii="Times New Roman" w:hAnsi="Times New Roman" w:eastAsia="仿宋_GB2312" w:cs="Times New Roman"/>
          <w:sz w:val="32"/>
          <w:szCs w:val="32"/>
          <w:u w:color="FFFFFF" w:themeColor="background1"/>
        </w:rPr>
        <w:t>主要是用于</w:t>
      </w:r>
      <w:r>
        <w:rPr>
          <w:rFonts w:hint="eastAsia" w:eastAsia="仿宋_GB2312" w:cs="Times New Roman"/>
          <w:sz w:val="32"/>
          <w:szCs w:val="32"/>
          <w:u w:color="FFFFFF" w:themeColor="background1"/>
          <w:lang w:val="en-US" w:eastAsia="zh-CN"/>
        </w:rPr>
        <w:t>上年结转结余资金</w:t>
      </w:r>
      <w:r>
        <w:rPr>
          <w:rFonts w:hint="default" w:ascii="Times New Roman" w:hAnsi="Times New Roman" w:eastAsia="仿宋_GB2312" w:cs="Times New Roman"/>
          <w:sz w:val="32"/>
          <w:szCs w:val="32"/>
          <w:u w:color="FFFFFF" w:themeColor="background1"/>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u w:color="FFFFFF" w:themeColor="background1"/>
        </w:rPr>
      </w:pPr>
      <w:r>
        <w:rPr>
          <w:rFonts w:hint="eastAsia" w:eastAsia="黑体" w:cs="黑体"/>
          <w:b w:val="0"/>
          <w:bCs w:val="0"/>
          <w:sz w:val="32"/>
          <w:szCs w:val="36"/>
          <w:u w:color="FFFFFF" w:themeColor="background1"/>
        </w:rPr>
        <w:t>九、国有资本经营预算支出预算情况说明</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val="0"/>
        <w:spacing w:line="570" w:lineRule="exact"/>
        <w:ind w:firstLine="640" w:firstLineChars="200"/>
        <w:textAlignment w:val="auto"/>
        <w:rPr>
          <w:rFonts w:eastAsia="仿宋_GB2312" w:cstheme="minorBidi"/>
          <w:i/>
          <w:iCs/>
          <w:sz w:val="32"/>
          <w:szCs w:val="32"/>
          <w:u w:color="FFFFFF" w:themeColor="background1"/>
        </w:rPr>
      </w:pPr>
      <w:r>
        <w:rPr>
          <w:rFonts w:hint="eastAsia" w:ascii="仿宋_GB2312" w:hAnsi="仿宋_GB2312" w:eastAsia="仿宋_GB2312" w:cs="仿宋_GB2312"/>
          <w:i w:val="0"/>
          <w:iCs w:val="0"/>
          <w:sz w:val="32"/>
          <w:szCs w:val="32"/>
          <w:highlight w:val="none"/>
          <w:u w:color="FFFFFF" w:themeColor="background1"/>
          <w:lang w:val="en-US" w:eastAsia="zh-CN"/>
        </w:rPr>
        <w:t>包头市民政局</w:t>
      </w:r>
      <w:r>
        <w:rPr>
          <w:rFonts w:hint="eastAsia" w:ascii="仿宋_GB2312" w:hAnsi="仿宋_GB2312" w:eastAsia="仿宋_GB2312" w:cs="仿宋_GB2312"/>
          <w:i w:val="0"/>
          <w:iCs w:val="0"/>
          <w:sz w:val="32"/>
          <w:szCs w:val="32"/>
          <w:highlight w:val="none"/>
          <w:u w:color="FFFFFF" w:themeColor="background1"/>
        </w:rPr>
        <w:t>202</w:t>
      </w:r>
      <w:r>
        <w:rPr>
          <w:rFonts w:hint="eastAsia" w:ascii="仿宋_GB2312" w:hAnsi="仿宋_GB2312" w:eastAsia="仿宋_GB2312" w:cs="仿宋_GB2312"/>
          <w:i w:val="0"/>
          <w:iCs w:val="0"/>
          <w:sz w:val="32"/>
          <w:szCs w:val="32"/>
          <w:highlight w:val="none"/>
          <w:u w:color="FFFFFF" w:themeColor="background1"/>
          <w:lang w:val="en-US" w:eastAsia="zh-CN"/>
        </w:rPr>
        <w:t>3</w:t>
      </w:r>
      <w:r>
        <w:rPr>
          <w:rFonts w:hint="eastAsia" w:ascii="仿宋_GB2312" w:hAnsi="仿宋_GB2312" w:eastAsia="仿宋_GB2312" w:cs="仿宋_GB2312"/>
          <w:i w:val="0"/>
          <w:iCs w:val="0"/>
          <w:sz w:val="32"/>
          <w:szCs w:val="32"/>
          <w:highlight w:val="none"/>
          <w:u w:color="FFFFFF" w:themeColor="background1"/>
        </w:rPr>
        <w:t>年国有资本经营预算支出0万元。与上年相比增加0万元，增长0 %。主要原因是本年无国有资本经营预算拨款支出。</w:t>
      </w:r>
    </w:p>
    <w:p>
      <w:pPr>
        <w:pageBreakBefore w:val="0"/>
        <w:kinsoku/>
        <w:wordWrap/>
        <w:overflowPunct/>
        <w:topLinePunct w:val="0"/>
        <w:bidi w:val="0"/>
        <w:spacing w:line="600" w:lineRule="exact"/>
        <w:ind w:firstLine="640" w:firstLineChars="200"/>
        <w:rPr>
          <w:b w:val="0"/>
          <w:bCs w:val="0"/>
          <w:i/>
          <w:iCs/>
          <w:highlight w:val="yellow"/>
          <w:u w:color="FFFFFF" w:themeColor="background1"/>
        </w:rPr>
      </w:pPr>
      <w:r>
        <w:rPr>
          <w:rFonts w:hint="eastAsia" w:eastAsia="黑体" w:cs="黑体"/>
          <w:b w:val="0"/>
          <w:bCs w:val="0"/>
          <w:sz w:val="32"/>
          <w:szCs w:val="36"/>
          <w:u w:color="FFFFFF" w:themeColor="background1"/>
        </w:rPr>
        <w:t>十、项目支出预算情况说明</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u w:color="FFFFFF" w:themeColor="background1"/>
        </w:rPr>
      </w:pPr>
      <w:r>
        <w:rPr>
          <w:rFonts w:hint="eastAsia" w:eastAsia="仿宋_GB2312" w:cs="Times New Roman"/>
          <w:sz w:val="32"/>
          <w:szCs w:val="32"/>
          <w:u w:color="FFFFFF" w:themeColor="background1"/>
          <w:lang w:val="en-US" w:eastAsia="zh-CN"/>
        </w:rPr>
        <w:t>2023</w:t>
      </w:r>
      <w:r>
        <w:rPr>
          <w:rFonts w:hint="default" w:ascii="Times New Roman" w:hAnsi="Times New Roman" w:eastAsia="仿宋_GB2312" w:cs="Times New Roman"/>
          <w:sz w:val="32"/>
          <w:szCs w:val="32"/>
          <w:u w:color="FFFFFF" w:themeColor="background1"/>
        </w:rPr>
        <w:t>年</w:t>
      </w:r>
      <w:r>
        <w:rPr>
          <w:rFonts w:hint="eastAsia" w:eastAsia="仿宋_GB2312" w:cs="Times New Roman"/>
          <w:sz w:val="32"/>
          <w:szCs w:val="32"/>
          <w:u w:color="FFFFFF" w:themeColor="background1"/>
          <w:lang w:val="en-US" w:eastAsia="zh-CN"/>
        </w:rPr>
        <w:t>包头市民政局</w:t>
      </w:r>
      <w:r>
        <w:rPr>
          <w:rFonts w:hint="default" w:ascii="Times New Roman" w:hAnsi="Times New Roman" w:eastAsia="仿宋_GB2312" w:cs="Times New Roman"/>
          <w:sz w:val="32"/>
          <w:szCs w:val="32"/>
          <w:u w:color="FFFFFF" w:themeColor="background1"/>
        </w:rPr>
        <w:t>预算安排项目</w:t>
      </w:r>
      <w:r>
        <w:rPr>
          <w:rFonts w:hint="eastAsia" w:eastAsia="仿宋_GB2312" w:cs="Times New Roman"/>
          <w:sz w:val="32"/>
          <w:szCs w:val="32"/>
          <w:u w:val="single" w:color="FFFFFF" w:themeColor="background1"/>
          <w:lang w:val="en-US" w:eastAsia="zh-CN"/>
        </w:rPr>
        <w:t>3</w:t>
      </w:r>
      <w:r>
        <w:rPr>
          <w:rFonts w:hint="default" w:ascii="Times New Roman" w:hAnsi="Times New Roman" w:eastAsia="仿宋_GB2312" w:cs="Times New Roman"/>
          <w:sz w:val="32"/>
          <w:szCs w:val="32"/>
          <w:u w:color="FFFFFF" w:themeColor="background1"/>
        </w:rPr>
        <w:t>个，项目预算总金额</w:t>
      </w:r>
      <w:r>
        <w:rPr>
          <w:rFonts w:hint="eastAsia" w:eastAsia="仿宋_GB2312" w:cs="Times New Roman"/>
          <w:sz w:val="32"/>
          <w:szCs w:val="32"/>
          <w:u w:val="single" w:color="FFFFFF" w:themeColor="background1"/>
          <w:lang w:val="en-US" w:eastAsia="zh-CN"/>
        </w:rPr>
        <w:t>2300</w:t>
      </w:r>
      <w:r>
        <w:rPr>
          <w:rFonts w:hint="default" w:ascii="Times New Roman" w:hAnsi="Times New Roman" w:eastAsia="仿宋_GB2312" w:cs="Times New Roman"/>
          <w:sz w:val="32"/>
          <w:szCs w:val="32"/>
          <w:u w:color="FFFFFF" w:themeColor="background1"/>
        </w:rPr>
        <w:t>万元。其中，财政本年拨款金额</w:t>
      </w:r>
      <w:r>
        <w:rPr>
          <w:rFonts w:hint="eastAsia" w:eastAsia="仿宋_GB2312" w:cs="Times New Roman"/>
          <w:sz w:val="32"/>
          <w:szCs w:val="32"/>
          <w:u w:val="single" w:color="FFFFFF" w:themeColor="background1"/>
          <w:lang w:val="en-US" w:eastAsia="zh-CN"/>
        </w:rPr>
        <w:t>1500</w:t>
      </w:r>
      <w:r>
        <w:rPr>
          <w:rFonts w:hint="default" w:ascii="Times New Roman" w:hAnsi="Times New Roman" w:eastAsia="仿宋_GB2312" w:cs="Times New Roman"/>
          <w:sz w:val="32"/>
          <w:szCs w:val="32"/>
          <w:u w:color="FFFFFF" w:themeColor="background1"/>
        </w:rPr>
        <w:t>万元，财政拨款结转结余</w:t>
      </w:r>
      <w:r>
        <w:rPr>
          <w:rFonts w:hint="eastAsia" w:eastAsia="仿宋_GB2312" w:cs="Times New Roman"/>
          <w:sz w:val="32"/>
          <w:szCs w:val="32"/>
          <w:u w:val="single" w:color="FFFFFF" w:themeColor="background1"/>
          <w:lang w:val="en-US" w:eastAsia="zh-CN"/>
        </w:rPr>
        <w:t>800</w:t>
      </w:r>
      <w:r>
        <w:rPr>
          <w:rFonts w:hint="default" w:ascii="Times New Roman" w:hAnsi="Times New Roman" w:eastAsia="仿宋_GB2312" w:cs="Times New Roman"/>
          <w:sz w:val="32"/>
          <w:szCs w:val="32"/>
          <w:u w:color="FFFFFF" w:themeColor="background1"/>
        </w:rPr>
        <w:t>万元，财政专户管理资金</w:t>
      </w:r>
      <w:r>
        <w:rPr>
          <w:rFonts w:hint="eastAsia" w:eastAsia="仿宋_GB2312" w:cs="Times New Roman"/>
          <w:sz w:val="32"/>
          <w:szCs w:val="32"/>
          <w:u w:color="FFFFFF" w:themeColor="background1"/>
          <w:lang w:val="en-US" w:eastAsia="zh-CN"/>
        </w:rPr>
        <w:t>0</w:t>
      </w:r>
      <w:r>
        <w:rPr>
          <w:rFonts w:hint="default" w:ascii="Times New Roman" w:hAnsi="Times New Roman" w:eastAsia="仿宋_GB2312" w:cs="Times New Roman"/>
          <w:sz w:val="32"/>
          <w:szCs w:val="32"/>
          <w:u w:color="FFFFFF" w:themeColor="background1"/>
        </w:rPr>
        <w:t>万元，单位资金</w:t>
      </w:r>
      <w:r>
        <w:rPr>
          <w:rFonts w:hint="eastAsia" w:eastAsia="仿宋_GB2312" w:cs="Times New Roman"/>
          <w:sz w:val="32"/>
          <w:szCs w:val="32"/>
          <w:u w:val="single" w:color="FFFFFF" w:themeColor="background1"/>
          <w:lang w:val="en-US" w:eastAsia="zh-CN"/>
        </w:rPr>
        <w:t>0</w:t>
      </w:r>
      <w:r>
        <w:rPr>
          <w:rFonts w:hint="default" w:ascii="Times New Roman" w:hAnsi="Times New Roman" w:eastAsia="仿宋_GB2312" w:cs="Times New Roman"/>
          <w:sz w:val="32"/>
          <w:szCs w:val="32"/>
          <w:u w:color="FFFFFF" w:themeColor="background1"/>
        </w:rPr>
        <w:t>万元。</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color="FFFFFF" w:themeColor="background1"/>
          <w:lang w:eastAsia="zh-CN"/>
        </w:rPr>
      </w:pPr>
      <w:r>
        <w:rPr>
          <w:rFonts w:hint="eastAsia" w:ascii="仿宋_GB2312" w:hAnsi="仿宋_GB2312" w:eastAsia="仿宋_GB2312" w:cs="仿宋_GB2312"/>
          <w:bCs/>
          <w:color w:val="auto"/>
          <w:sz w:val="32"/>
          <w:szCs w:val="32"/>
          <w:u w:color="FFFFFF" w:themeColor="background1"/>
          <w:lang w:eastAsia="zh-CN"/>
        </w:rPr>
        <w:t>（一）停征基本殡葬服务费弥补支出</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 xml:space="preserve">1.项目概述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color="FFFFFF" w:themeColor="background1"/>
          <w:lang w:eastAsia="zh-CN"/>
        </w:rPr>
      </w:pPr>
      <w:r>
        <w:rPr>
          <w:rFonts w:hint="eastAsia" w:ascii="仿宋_GB2312" w:hAnsi="仿宋_GB2312" w:eastAsia="仿宋_GB2312" w:cs="仿宋_GB2312"/>
          <w:bCs/>
          <w:color w:val="auto"/>
          <w:sz w:val="32"/>
          <w:szCs w:val="32"/>
          <w:u w:color="FFFFFF" w:themeColor="background1"/>
        </w:rPr>
        <w:t>本项目主要用于</w:t>
      </w:r>
      <w:r>
        <w:rPr>
          <w:rFonts w:hint="eastAsia" w:ascii="仿宋_GB2312" w:hAnsi="仿宋_GB2312" w:eastAsia="仿宋_GB2312" w:cs="仿宋_GB2312"/>
          <w:bCs/>
          <w:color w:val="auto"/>
          <w:sz w:val="32"/>
          <w:szCs w:val="32"/>
          <w:u w:color="FFFFFF" w:themeColor="background1"/>
          <w:lang w:eastAsia="zh-CN"/>
        </w:rPr>
        <w:t>停征基本殡葬服务费弥补支出。</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 xml:space="preserve">2.立项依据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《包头市人民政府关于停征部分行政事业性收费的通知》（包府发[2014]18号）</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 xml:space="preserve">3.实施主体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color="FFFFFF" w:themeColor="background1"/>
          <w:lang w:eastAsia="zh-CN"/>
        </w:rPr>
      </w:pPr>
      <w:r>
        <w:rPr>
          <w:rFonts w:hint="eastAsia" w:ascii="仿宋_GB2312" w:hAnsi="仿宋_GB2312" w:eastAsia="仿宋_GB2312" w:cs="仿宋_GB2312"/>
          <w:bCs/>
          <w:color w:val="auto"/>
          <w:sz w:val="32"/>
          <w:szCs w:val="32"/>
          <w:u w:color="FFFFFF" w:themeColor="background1"/>
          <w:lang w:eastAsia="zh-CN"/>
        </w:rPr>
        <w:t>包头市</w:t>
      </w:r>
      <w:r>
        <w:rPr>
          <w:rFonts w:hint="eastAsia" w:ascii="仿宋_GB2312" w:hAnsi="仿宋_GB2312" w:eastAsia="仿宋_GB2312" w:cs="仿宋_GB2312"/>
          <w:bCs/>
          <w:color w:val="auto"/>
          <w:sz w:val="32"/>
          <w:szCs w:val="32"/>
          <w:u w:color="FFFFFF" w:themeColor="background1"/>
          <w:lang w:val="en-US" w:eastAsia="zh-CN"/>
        </w:rPr>
        <w:t>民政局</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 xml:space="preserve">4.实施方案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202</w:t>
      </w:r>
      <w:r>
        <w:rPr>
          <w:rFonts w:hint="eastAsia" w:ascii="仿宋_GB2312" w:hAnsi="仿宋_GB2312" w:eastAsia="仿宋_GB2312" w:cs="仿宋_GB2312"/>
          <w:bCs/>
          <w:color w:val="auto"/>
          <w:sz w:val="32"/>
          <w:szCs w:val="32"/>
          <w:u w:color="FFFFFF" w:themeColor="background1"/>
          <w:lang w:val="en-US" w:eastAsia="zh-CN"/>
        </w:rPr>
        <w:t>2</w:t>
      </w:r>
      <w:r>
        <w:rPr>
          <w:rFonts w:hint="eastAsia" w:ascii="仿宋_GB2312" w:hAnsi="仿宋_GB2312" w:eastAsia="仿宋_GB2312" w:cs="仿宋_GB2312"/>
          <w:bCs/>
          <w:color w:val="auto"/>
          <w:sz w:val="32"/>
          <w:szCs w:val="32"/>
          <w:u w:color="FFFFFF" w:themeColor="background1"/>
        </w:rPr>
        <w:t>年1至8月市殡仪馆共8221火化具遗体，按此测算全年火化12336具。按照202</w:t>
      </w:r>
      <w:r>
        <w:rPr>
          <w:rFonts w:hint="eastAsia" w:ascii="仿宋_GB2312" w:hAnsi="仿宋_GB2312" w:eastAsia="仿宋_GB2312" w:cs="仿宋_GB2312"/>
          <w:bCs/>
          <w:color w:val="auto"/>
          <w:sz w:val="32"/>
          <w:szCs w:val="32"/>
          <w:u w:color="FFFFFF" w:themeColor="background1"/>
          <w:lang w:val="en-US" w:eastAsia="zh-CN"/>
        </w:rPr>
        <w:t>3</w:t>
      </w:r>
      <w:r>
        <w:rPr>
          <w:rFonts w:hint="eastAsia" w:ascii="仿宋_GB2312" w:hAnsi="仿宋_GB2312" w:eastAsia="仿宋_GB2312" w:cs="仿宋_GB2312"/>
          <w:bCs/>
          <w:color w:val="auto"/>
          <w:sz w:val="32"/>
          <w:szCs w:val="32"/>
          <w:u w:color="FFFFFF" w:themeColor="background1"/>
        </w:rPr>
        <w:t xml:space="preserve">年全年预计火化遗体12300具左右测算，所需资金1500元×12300具＝18450000元。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 xml:space="preserve">5.实施周期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自202</w:t>
      </w:r>
      <w:r>
        <w:rPr>
          <w:rFonts w:hint="eastAsia" w:ascii="仿宋_GB2312" w:hAnsi="仿宋_GB2312" w:eastAsia="仿宋_GB2312" w:cs="仿宋_GB2312"/>
          <w:bCs/>
          <w:color w:val="auto"/>
          <w:sz w:val="32"/>
          <w:szCs w:val="32"/>
          <w:u w:color="FFFFFF" w:themeColor="background1"/>
          <w:lang w:val="en-US" w:eastAsia="zh-CN"/>
        </w:rPr>
        <w:t>3</w:t>
      </w:r>
      <w:r>
        <w:rPr>
          <w:rFonts w:hint="eastAsia" w:ascii="仿宋_GB2312" w:hAnsi="仿宋_GB2312" w:eastAsia="仿宋_GB2312" w:cs="仿宋_GB2312"/>
          <w:bCs/>
          <w:color w:val="auto"/>
          <w:sz w:val="32"/>
          <w:szCs w:val="32"/>
          <w:u w:color="FFFFFF" w:themeColor="background1"/>
        </w:rPr>
        <w:t>年1月1日至202</w:t>
      </w:r>
      <w:r>
        <w:rPr>
          <w:rFonts w:hint="eastAsia" w:ascii="仿宋_GB2312" w:hAnsi="仿宋_GB2312" w:eastAsia="仿宋_GB2312" w:cs="仿宋_GB2312"/>
          <w:bCs/>
          <w:color w:val="auto"/>
          <w:sz w:val="32"/>
          <w:szCs w:val="32"/>
          <w:u w:color="FFFFFF" w:themeColor="background1"/>
          <w:lang w:val="en-US" w:eastAsia="zh-CN"/>
        </w:rPr>
        <w:t>3</w:t>
      </w:r>
      <w:r>
        <w:rPr>
          <w:rFonts w:hint="eastAsia" w:ascii="仿宋_GB2312" w:hAnsi="仿宋_GB2312" w:eastAsia="仿宋_GB2312" w:cs="仿宋_GB2312"/>
          <w:bCs/>
          <w:color w:val="auto"/>
          <w:sz w:val="32"/>
          <w:szCs w:val="32"/>
          <w:u w:color="FFFFFF" w:themeColor="background1"/>
        </w:rPr>
        <w:t xml:space="preserve">年12月31日。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 xml:space="preserve">6.年度预算安排 </w:t>
      </w:r>
    </w:p>
    <w:p>
      <w:pPr>
        <w:pageBreakBefore w:val="0"/>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bCs/>
          <w:color w:val="auto"/>
          <w:sz w:val="32"/>
          <w:szCs w:val="32"/>
          <w:u w:color="FFFFFF" w:themeColor="background1"/>
        </w:rPr>
      </w:pPr>
      <w:r>
        <w:rPr>
          <w:rFonts w:hint="eastAsia" w:ascii="仿宋_GB2312" w:hAnsi="仿宋_GB2312" w:eastAsia="仿宋_GB2312" w:cs="仿宋_GB2312"/>
          <w:bCs/>
          <w:color w:val="auto"/>
          <w:sz w:val="32"/>
          <w:szCs w:val="32"/>
          <w:u w:color="FFFFFF" w:themeColor="background1"/>
        </w:rPr>
        <w:t>202</w:t>
      </w:r>
      <w:r>
        <w:rPr>
          <w:rFonts w:hint="eastAsia" w:ascii="仿宋_GB2312" w:hAnsi="仿宋_GB2312" w:eastAsia="仿宋_GB2312" w:cs="仿宋_GB2312"/>
          <w:bCs/>
          <w:color w:val="auto"/>
          <w:sz w:val="32"/>
          <w:szCs w:val="32"/>
          <w:u w:color="FFFFFF" w:themeColor="background1"/>
          <w:lang w:val="en-US" w:eastAsia="zh-CN"/>
        </w:rPr>
        <w:t>3</w:t>
      </w:r>
      <w:r>
        <w:rPr>
          <w:rFonts w:hint="eastAsia" w:ascii="仿宋_GB2312" w:hAnsi="仿宋_GB2312" w:eastAsia="仿宋_GB2312" w:cs="仿宋_GB2312"/>
          <w:bCs/>
          <w:color w:val="auto"/>
          <w:sz w:val="32"/>
          <w:szCs w:val="32"/>
          <w:u w:color="FFFFFF" w:themeColor="background1"/>
        </w:rPr>
        <w:t>年该项目预算</w:t>
      </w:r>
      <w:r>
        <w:rPr>
          <w:rFonts w:hint="eastAsia" w:ascii="仿宋_GB2312" w:hAnsi="仿宋_GB2312" w:eastAsia="仿宋_GB2312" w:cs="仿宋_GB2312"/>
          <w:bCs/>
          <w:color w:val="auto"/>
          <w:sz w:val="32"/>
          <w:szCs w:val="32"/>
          <w:u w:color="FFFFFF" w:themeColor="background1"/>
          <w:lang w:val="en-US" w:eastAsia="zh-CN"/>
        </w:rPr>
        <w:t>1500万</w:t>
      </w:r>
      <w:r>
        <w:rPr>
          <w:rFonts w:hint="eastAsia" w:ascii="仿宋_GB2312" w:hAnsi="仿宋_GB2312" w:eastAsia="仿宋_GB2312" w:cs="仿宋_GB2312"/>
          <w:bCs/>
          <w:color w:val="auto"/>
          <w:sz w:val="32"/>
          <w:szCs w:val="32"/>
          <w:u w:color="FFFFFF" w:themeColor="background1"/>
        </w:rPr>
        <w:t>元。</w:t>
      </w:r>
    </w:p>
    <w:p>
      <w:pPr>
        <w:pageBreakBefore w:val="0"/>
        <w:pBdr>
          <w:bottom w:val="single" w:color="FFFFFF" w:sz="4" w:space="30"/>
        </w:pBdr>
        <w:kinsoku/>
        <w:wordWrap/>
        <w:overflowPunct/>
        <w:topLinePunct w:val="0"/>
        <w:bidi w:val="0"/>
        <w:snapToGrid w:val="0"/>
        <w:spacing w:line="600" w:lineRule="exact"/>
        <w:rPr>
          <w:rFonts w:hint="eastAsia" w:ascii="仿宋_GB2312" w:hAnsi="方正仿宋_GBK" w:eastAsia="仿宋_GB2312" w:cs="方正仿宋_GBK"/>
          <w:bCs/>
          <w:i/>
          <w:iCs/>
          <w:color w:val="000000" w:themeColor="text1"/>
          <w:sz w:val="32"/>
          <w:szCs w:val="32"/>
          <w:highlight w:val="yellow"/>
          <w:u w:color="FFFFFF" w:themeColor="background1"/>
          <w14:textFill>
            <w14:solidFill>
              <w14:schemeClr w14:val="tx1"/>
            </w14:solidFill>
          </w14:textFill>
        </w:rPr>
      </w:pPr>
    </w:p>
    <w:p>
      <w:pPr>
        <w:pageBreakBefore w:val="0"/>
        <w:numPr>
          <w:ilvl w:val="0"/>
          <w:numId w:val="5"/>
        </w:numPr>
        <w:pBdr>
          <w:bottom w:val="single" w:color="FFFFFF" w:sz="4" w:space="30"/>
        </w:pBdr>
        <w:kinsoku/>
        <w:wordWrap/>
        <w:overflowPunct/>
        <w:topLinePunct w:val="0"/>
        <w:bidi w:val="0"/>
        <w:snapToGrid w:val="0"/>
        <w:spacing w:line="600" w:lineRule="exact"/>
        <w:ind w:left="640" w:leftChars="0" w:firstLine="0" w:firstLineChars="0"/>
        <w:rPr>
          <w:rFonts w:hint="eastAsia" w:ascii="仿宋_GB2312" w:hAnsi="仿宋_GB2312" w:eastAsia="仿宋_GB2312" w:cs="仿宋_GB2312"/>
          <w:color w:val="auto"/>
          <w:sz w:val="32"/>
          <w:szCs w:val="32"/>
          <w:u w:color="FFFFFF" w:themeColor="background1"/>
        </w:rPr>
      </w:pPr>
      <w:r>
        <w:rPr>
          <w:rFonts w:hint="eastAsia" w:eastAsia="黑体" w:cs="黑体"/>
          <w:b w:val="0"/>
          <w:bCs w:val="0"/>
          <w:sz w:val="32"/>
          <w:szCs w:val="36"/>
          <w:u w:color="FFFFFF" w:themeColor="background1"/>
        </w:rPr>
        <w:t>一般公共预算机关运行经费支出预算情况说明</w:t>
      </w:r>
    </w:p>
    <w:p>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eastAsia" w:ascii="仿宋_GB2312" w:hAnsi="仿宋_GB2312" w:eastAsia="仿宋_GB2312" w:cs="仿宋_GB2312"/>
          <w:color w:val="auto"/>
          <w:sz w:val="32"/>
          <w:szCs w:val="32"/>
          <w:u w:color="FFFFFF" w:themeColor="background1"/>
        </w:rPr>
      </w:pPr>
      <w:r>
        <w:rPr>
          <w:rFonts w:hint="eastAsia" w:ascii="仿宋_GB2312" w:hAnsi="仿宋_GB2312" w:eastAsia="仿宋_GB2312" w:cs="仿宋_GB2312"/>
          <w:color w:val="auto"/>
          <w:sz w:val="32"/>
          <w:szCs w:val="32"/>
          <w:u w:val="single" w:color="FFFFFF" w:themeColor="background1"/>
          <w:lang w:val="en-US" w:eastAsia="zh-CN"/>
        </w:rPr>
        <w:t>2023</w:t>
      </w:r>
      <w:r>
        <w:rPr>
          <w:rFonts w:hint="eastAsia" w:ascii="仿宋_GB2312" w:hAnsi="仿宋_GB2312" w:eastAsia="仿宋_GB2312" w:cs="仿宋_GB2312"/>
          <w:color w:val="auto"/>
          <w:sz w:val="32"/>
          <w:szCs w:val="32"/>
          <w:u w:val="single" w:color="FFFFFF" w:themeColor="background1"/>
        </w:rPr>
        <w:t>年</w:t>
      </w:r>
      <w:r>
        <w:rPr>
          <w:rFonts w:hint="eastAsia" w:ascii="仿宋_GB2312" w:hAnsi="仿宋_GB2312" w:eastAsia="仿宋_GB2312" w:cs="仿宋_GB2312"/>
          <w:color w:val="auto"/>
          <w:sz w:val="32"/>
          <w:szCs w:val="32"/>
          <w:u w:val="single" w:color="FFFFFF" w:themeColor="background1"/>
          <w:lang w:val="en-US" w:eastAsia="zh-CN"/>
        </w:rPr>
        <w:t>单位</w:t>
      </w:r>
      <w:r>
        <w:rPr>
          <w:rFonts w:hint="eastAsia" w:ascii="仿宋_GB2312" w:hAnsi="仿宋_GB2312" w:eastAsia="仿宋_GB2312" w:cs="仿宋_GB2312"/>
          <w:color w:val="auto"/>
          <w:sz w:val="32"/>
          <w:szCs w:val="32"/>
          <w:u w:color="FFFFFF" w:themeColor="background1"/>
        </w:rPr>
        <w:t>一般公共预算机关运行经费预算支出</w:t>
      </w:r>
      <w:r>
        <w:rPr>
          <w:rFonts w:hint="eastAsia" w:ascii="仿宋_GB2312" w:hAnsi="仿宋_GB2312" w:eastAsia="仿宋_GB2312" w:cs="仿宋_GB2312"/>
          <w:color w:val="auto"/>
          <w:sz w:val="32"/>
          <w:szCs w:val="32"/>
          <w:u w:val="single" w:color="FFFFFF" w:themeColor="background1"/>
          <w:lang w:val="en-US" w:eastAsia="zh-CN"/>
        </w:rPr>
        <w:t>15.72</w:t>
      </w:r>
      <w:r>
        <w:rPr>
          <w:rFonts w:hint="eastAsia" w:ascii="仿宋_GB2312" w:hAnsi="仿宋_GB2312" w:eastAsia="仿宋_GB2312" w:cs="仿宋_GB2312"/>
          <w:color w:val="auto"/>
          <w:sz w:val="32"/>
          <w:szCs w:val="32"/>
          <w:u w:color="FFFFFF" w:themeColor="background1"/>
        </w:rPr>
        <w:t>万元，主要包括以下支出：</w:t>
      </w:r>
      <w:r>
        <w:rPr>
          <w:rFonts w:hint="eastAsia" w:ascii="仿宋_GB2312" w:hAnsi="仿宋_GB2312" w:eastAsia="仿宋_GB2312" w:cs="仿宋_GB2312"/>
          <w:color w:val="000000"/>
          <w:kern w:val="0"/>
          <w:sz w:val="32"/>
          <w:szCs w:val="32"/>
          <w:u w:color="FFFFFF" w:themeColor="background1"/>
          <w:lang w:val="en-US" w:eastAsia="zh-CN" w:bidi="ar"/>
        </w:rPr>
        <w:t>办公费8.31 万元、差旅费 3 万元、会议费1万元、培训费1万元、公务接待费0.70万元、其他商品和服务支出 1.71 万元。</w:t>
      </w:r>
      <w:r>
        <w:rPr>
          <w:rFonts w:hint="eastAsia" w:ascii="仿宋_GB2312" w:hAnsi="仿宋_GB2312" w:eastAsia="仿宋_GB2312" w:cs="仿宋_GB2312"/>
          <w:color w:val="auto"/>
          <w:sz w:val="32"/>
          <w:szCs w:val="32"/>
          <w:u w:color="FFFFFF" w:themeColor="background1"/>
        </w:rPr>
        <w:t>与上年相比</w:t>
      </w:r>
      <w:r>
        <w:rPr>
          <w:rFonts w:hint="eastAsia" w:ascii="仿宋_GB2312" w:hAnsi="仿宋_GB2312" w:eastAsia="仿宋_GB2312" w:cs="仿宋_GB2312"/>
          <w:color w:val="auto"/>
          <w:sz w:val="32"/>
          <w:szCs w:val="32"/>
          <w:u w:color="FFFFFF" w:themeColor="background1"/>
          <w:lang w:val="en-US" w:eastAsia="zh-CN"/>
        </w:rPr>
        <w:t>减少16.62</w:t>
      </w:r>
      <w:r>
        <w:rPr>
          <w:rFonts w:hint="eastAsia" w:ascii="仿宋_GB2312" w:hAnsi="仿宋_GB2312" w:eastAsia="仿宋_GB2312" w:cs="仿宋_GB2312"/>
          <w:color w:val="auto"/>
          <w:sz w:val="32"/>
          <w:szCs w:val="32"/>
          <w:u w:color="FFFFFF" w:themeColor="background1"/>
        </w:rPr>
        <w:t>万元，</w:t>
      </w:r>
      <w:r>
        <w:rPr>
          <w:rFonts w:hint="eastAsia" w:ascii="仿宋_GB2312" w:hAnsi="仿宋_GB2312" w:eastAsia="仿宋_GB2312" w:cs="仿宋_GB2312"/>
          <w:color w:val="auto"/>
          <w:sz w:val="32"/>
          <w:szCs w:val="32"/>
          <w:u w:color="FFFFFF" w:themeColor="background1"/>
          <w:lang w:val="en-US" w:eastAsia="zh-CN"/>
        </w:rPr>
        <w:t>减少51.39</w:t>
      </w:r>
      <w:r>
        <w:rPr>
          <w:rFonts w:hint="eastAsia" w:ascii="仿宋_GB2312" w:hAnsi="仿宋_GB2312" w:eastAsia="仿宋_GB2312" w:cs="仿宋_GB2312"/>
          <w:color w:val="auto"/>
          <w:sz w:val="32"/>
          <w:szCs w:val="32"/>
          <w:u w:color="FFFFFF" w:themeColor="background1"/>
        </w:rPr>
        <w:t>%。主要原因是：</w:t>
      </w:r>
      <w:r>
        <w:rPr>
          <w:rFonts w:hint="eastAsia" w:ascii="仿宋_GB2312" w:hAnsi="仿宋_GB2312" w:eastAsia="仿宋_GB2312" w:cs="仿宋_GB2312"/>
          <w:color w:val="auto"/>
          <w:sz w:val="32"/>
          <w:szCs w:val="32"/>
          <w:u w:color="FFFFFF" w:themeColor="background1"/>
          <w:lang w:val="en-US" w:eastAsia="zh-CN"/>
        </w:rPr>
        <w:t>缩减机关运行经费</w:t>
      </w:r>
      <w:r>
        <w:rPr>
          <w:rFonts w:hint="eastAsia" w:ascii="仿宋_GB2312" w:hAnsi="仿宋_GB2312" w:eastAsia="仿宋_GB2312" w:cs="仿宋_GB2312"/>
          <w:color w:val="auto"/>
          <w:sz w:val="32"/>
          <w:szCs w:val="32"/>
          <w:u w:color="FFFFFF" w:themeColor="background1"/>
        </w:rPr>
        <w:t>。</w:t>
      </w:r>
    </w:p>
    <w:p>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highlight w:val="yellow"/>
          <w:u w:color="FFFFFF" w:themeColor="background1"/>
        </w:rPr>
      </w:pPr>
      <w:r>
        <w:rPr>
          <w:rFonts w:hint="eastAsia" w:eastAsia="黑体" w:cs="黑体"/>
          <w:b w:val="0"/>
          <w:bCs w:val="0"/>
          <w:sz w:val="32"/>
          <w:szCs w:val="36"/>
          <w:u w:color="FFFFFF" w:themeColor="background1"/>
          <w:lang w:val="en-US" w:eastAsia="zh-CN"/>
        </w:rPr>
        <w:t xml:space="preserve">    十二、</w:t>
      </w:r>
      <w:r>
        <w:rPr>
          <w:rFonts w:hint="eastAsia" w:eastAsia="黑体" w:cs="黑体"/>
          <w:b w:val="0"/>
          <w:bCs w:val="0"/>
          <w:sz w:val="32"/>
          <w:szCs w:val="36"/>
          <w:u w:color="FFFFFF" w:themeColor="background1"/>
        </w:rPr>
        <w:t>政府采购支出预算情况说明</w:t>
      </w:r>
    </w:p>
    <w:p>
      <w:pPr>
        <w:pageBreakBefore w:val="0"/>
        <w:numPr>
          <w:ilvl w:val="0"/>
          <w:numId w:val="0"/>
        </w:numPr>
        <w:pBdr>
          <w:bottom w:val="single" w:color="FFFFFF" w:sz="4" w:space="30"/>
        </w:pBdr>
        <w:kinsoku/>
        <w:wordWrap/>
        <w:overflowPunct/>
        <w:topLinePunct w:val="0"/>
        <w:bidi w:val="0"/>
        <w:snapToGrid w:val="0"/>
        <w:spacing w:line="570" w:lineRule="exact"/>
        <w:ind w:firstLine="640" w:firstLineChars="200"/>
        <w:rPr>
          <w:rFonts w:hint="eastAsia" w:ascii="仿宋_GB2312" w:hAnsi="仿宋_GB2312" w:eastAsia="仿宋_GB2312" w:cs="仿宋_GB2312"/>
          <w:color w:val="auto"/>
          <w:sz w:val="32"/>
          <w:szCs w:val="32"/>
          <w:u w:color="FFFFFF" w:themeColor="background1"/>
          <w:lang w:val="en-US" w:eastAsia="zh-CN"/>
        </w:rPr>
      </w:pPr>
      <w:r>
        <w:rPr>
          <w:rFonts w:hint="eastAsia" w:ascii="仿宋_GB2312" w:hAnsi="仿宋_GB2312" w:eastAsia="仿宋_GB2312" w:cs="仿宋_GB2312"/>
          <w:color w:val="auto"/>
          <w:sz w:val="32"/>
          <w:szCs w:val="32"/>
          <w:u w:color="FFFFFF" w:themeColor="background1"/>
          <w:lang w:val="en-US" w:eastAsia="zh-CN"/>
        </w:rPr>
        <w:t>2023</w:t>
      </w:r>
      <w:r>
        <w:rPr>
          <w:rFonts w:hint="eastAsia" w:ascii="仿宋_GB2312" w:hAnsi="仿宋_GB2312" w:eastAsia="仿宋_GB2312" w:cs="仿宋_GB2312"/>
          <w:color w:val="auto"/>
          <w:sz w:val="32"/>
          <w:szCs w:val="32"/>
          <w:u w:color="FFFFFF" w:themeColor="background1"/>
        </w:rPr>
        <w:t>年度政府采购支出预算总额</w:t>
      </w:r>
      <w:r>
        <w:rPr>
          <w:rFonts w:hint="eastAsia" w:ascii="仿宋_GB2312" w:hAnsi="仿宋_GB2312" w:eastAsia="仿宋_GB2312" w:cs="仿宋_GB2312"/>
          <w:color w:val="auto"/>
          <w:sz w:val="32"/>
          <w:szCs w:val="32"/>
          <w:u w:val="single" w:color="FFFFFF" w:themeColor="background1"/>
          <w:lang w:val="en-US" w:eastAsia="zh-CN"/>
        </w:rPr>
        <w:t>0</w:t>
      </w:r>
      <w:r>
        <w:rPr>
          <w:rFonts w:hint="eastAsia" w:ascii="仿宋_GB2312" w:hAnsi="仿宋_GB2312" w:eastAsia="仿宋_GB2312" w:cs="仿宋_GB2312"/>
          <w:color w:val="auto"/>
          <w:sz w:val="32"/>
          <w:szCs w:val="32"/>
          <w:u w:color="FFFFFF" w:themeColor="background1"/>
        </w:rPr>
        <w:t>万元，其中：拟采购货物支出</w:t>
      </w:r>
      <w:r>
        <w:rPr>
          <w:rFonts w:hint="eastAsia" w:ascii="仿宋_GB2312" w:hAnsi="仿宋_GB2312" w:eastAsia="仿宋_GB2312" w:cs="仿宋_GB2312"/>
          <w:color w:val="auto"/>
          <w:sz w:val="32"/>
          <w:szCs w:val="32"/>
          <w:u w:val="single" w:color="FFFFFF" w:themeColor="background1"/>
          <w:lang w:val="en-US" w:eastAsia="zh-CN"/>
        </w:rPr>
        <w:t>0</w:t>
      </w:r>
      <w:r>
        <w:rPr>
          <w:rFonts w:hint="eastAsia" w:ascii="仿宋_GB2312" w:hAnsi="仿宋_GB2312" w:eastAsia="仿宋_GB2312" w:cs="仿宋_GB2312"/>
          <w:color w:val="auto"/>
          <w:sz w:val="32"/>
          <w:szCs w:val="32"/>
          <w:u w:color="FFFFFF" w:themeColor="background1"/>
        </w:rPr>
        <w:t>万元、拟采购工程支出</w:t>
      </w:r>
      <w:r>
        <w:rPr>
          <w:rFonts w:hint="eastAsia" w:ascii="仿宋_GB2312" w:hAnsi="仿宋_GB2312" w:eastAsia="仿宋_GB2312" w:cs="仿宋_GB2312"/>
          <w:color w:val="auto"/>
          <w:sz w:val="32"/>
          <w:szCs w:val="32"/>
          <w:u w:val="single" w:color="FFFFFF" w:themeColor="background1"/>
          <w:lang w:val="en-US" w:eastAsia="zh-CN"/>
        </w:rPr>
        <w:t>0</w:t>
      </w:r>
      <w:r>
        <w:rPr>
          <w:rFonts w:hint="eastAsia" w:ascii="仿宋_GB2312" w:hAnsi="仿宋_GB2312" w:eastAsia="仿宋_GB2312" w:cs="仿宋_GB2312"/>
          <w:color w:val="auto"/>
          <w:sz w:val="32"/>
          <w:szCs w:val="32"/>
          <w:u w:color="FFFFFF" w:themeColor="background1"/>
        </w:rPr>
        <w:t>万元、拟购买服务支出</w:t>
      </w:r>
      <w:r>
        <w:rPr>
          <w:rFonts w:hint="eastAsia" w:ascii="仿宋_GB2312" w:hAnsi="仿宋_GB2312" w:eastAsia="仿宋_GB2312" w:cs="仿宋_GB2312"/>
          <w:color w:val="auto"/>
          <w:sz w:val="32"/>
          <w:szCs w:val="32"/>
          <w:u w:val="single" w:color="FFFFFF" w:themeColor="background1"/>
          <w:lang w:val="en-US" w:eastAsia="zh-CN"/>
        </w:rPr>
        <w:t>0</w:t>
      </w:r>
      <w:r>
        <w:rPr>
          <w:rFonts w:hint="eastAsia" w:ascii="仿宋_GB2312" w:hAnsi="仿宋_GB2312" w:eastAsia="仿宋_GB2312" w:cs="仿宋_GB2312"/>
          <w:color w:val="auto"/>
          <w:sz w:val="32"/>
          <w:szCs w:val="32"/>
          <w:u w:color="FFFFFF" w:themeColor="background1"/>
        </w:rPr>
        <w:t>万元。</w:t>
      </w:r>
    </w:p>
    <w:p>
      <w:pPr>
        <w:pageBreakBefore w:val="0"/>
        <w:numPr>
          <w:ilvl w:val="0"/>
          <w:numId w:val="0"/>
        </w:numPr>
        <w:pBdr>
          <w:bottom w:val="single" w:color="FFFFFF" w:sz="4" w:space="30"/>
        </w:pBdr>
        <w:kinsoku/>
        <w:wordWrap/>
        <w:overflowPunct/>
        <w:topLinePunct w:val="0"/>
        <w:bidi w:val="0"/>
        <w:snapToGrid w:val="0"/>
        <w:spacing w:line="600" w:lineRule="exact"/>
        <w:rPr>
          <w:rFonts w:hint="eastAsia" w:eastAsia="黑体" w:cs="黑体"/>
          <w:b w:val="0"/>
          <w:bCs w:val="0"/>
          <w:sz w:val="32"/>
          <w:szCs w:val="36"/>
          <w:u w:color="FFFFFF" w:themeColor="background1"/>
        </w:rPr>
      </w:pPr>
      <w:r>
        <w:rPr>
          <w:rFonts w:hint="eastAsia" w:eastAsia="黑体" w:cs="黑体"/>
          <w:b w:val="0"/>
          <w:bCs w:val="0"/>
          <w:sz w:val="32"/>
          <w:szCs w:val="36"/>
          <w:u w:color="FFFFFF" w:themeColor="background1"/>
          <w:lang w:val="en-US" w:eastAsia="zh-CN"/>
        </w:rPr>
        <w:t xml:space="preserve">    </w:t>
      </w:r>
      <w:r>
        <w:rPr>
          <w:rFonts w:hint="eastAsia" w:eastAsia="黑体" w:cs="黑体"/>
          <w:b w:val="0"/>
          <w:bCs w:val="0"/>
          <w:sz w:val="32"/>
          <w:szCs w:val="36"/>
          <w:u w:color="FFFFFF" w:themeColor="background1"/>
          <w:lang w:eastAsia="zh-CN"/>
        </w:rPr>
        <w:t>十三、</w:t>
      </w:r>
      <w:r>
        <w:rPr>
          <w:rFonts w:hint="eastAsia" w:eastAsia="黑体" w:cs="黑体"/>
          <w:b w:val="0"/>
          <w:bCs w:val="0"/>
          <w:sz w:val="32"/>
          <w:szCs w:val="36"/>
          <w:u w:color="FFFFFF" w:themeColor="background1"/>
        </w:rPr>
        <w:t>国有资产占用情况说明</w:t>
      </w:r>
    </w:p>
    <w:p>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eastAsia" w:eastAsia="黑体" w:cs="黑体"/>
          <w:b w:val="0"/>
          <w:bCs w:val="0"/>
          <w:sz w:val="32"/>
          <w:szCs w:val="36"/>
          <w:u w:color="FFFFFF" w:themeColor="background1"/>
          <w:lang w:val="en-US" w:eastAsia="zh-CN"/>
        </w:rPr>
      </w:pPr>
      <w:r>
        <w:rPr>
          <w:rFonts w:hint="eastAsia" w:ascii="仿宋_GB2312" w:hAnsi="仿宋_GB2312" w:eastAsia="仿宋_GB2312" w:cs="仿宋_GB2312"/>
          <w:color w:val="auto"/>
          <w:sz w:val="32"/>
          <w:szCs w:val="32"/>
          <w:u w:color="FFFFFF" w:themeColor="background1"/>
        </w:rPr>
        <w:t>本</w:t>
      </w:r>
      <w:r>
        <w:rPr>
          <w:rFonts w:hint="eastAsia" w:ascii="仿宋_GB2312" w:hAnsi="仿宋_GB2312" w:eastAsia="仿宋_GB2312" w:cs="仿宋_GB2312"/>
          <w:color w:val="auto"/>
          <w:sz w:val="32"/>
          <w:szCs w:val="32"/>
          <w:u w:color="FFFFFF" w:themeColor="background1"/>
          <w:lang w:val="en-US" w:eastAsia="zh-CN"/>
        </w:rPr>
        <w:t>单位</w:t>
      </w:r>
      <w:r>
        <w:rPr>
          <w:rFonts w:hint="eastAsia" w:ascii="仿宋_GB2312" w:hAnsi="仿宋_GB2312" w:eastAsia="仿宋_GB2312" w:cs="仿宋_GB2312"/>
          <w:color w:val="auto"/>
          <w:sz w:val="32"/>
          <w:szCs w:val="32"/>
          <w:u w:color="FFFFFF" w:themeColor="background1"/>
        </w:rPr>
        <w:t>共有车辆</w:t>
      </w:r>
      <w:r>
        <w:rPr>
          <w:rFonts w:hint="eastAsia" w:ascii="仿宋_GB2312" w:hAnsi="仿宋_GB2312" w:eastAsia="仿宋_GB2312" w:cs="仿宋_GB2312"/>
          <w:color w:val="auto"/>
          <w:sz w:val="32"/>
          <w:szCs w:val="32"/>
          <w:u w:val="single" w:color="FFFFFF" w:themeColor="background1"/>
          <w:lang w:val="en-US" w:eastAsia="zh-CN"/>
        </w:rPr>
        <w:t>1</w:t>
      </w:r>
      <w:r>
        <w:rPr>
          <w:rFonts w:hint="eastAsia" w:ascii="仿宋_GB2312" w:hAnsi="仿宋_GB2312" w:eastAsia="仿宋_GB2312" w:cs="仿宋_GB2312"/>
          <w:color w:val="auto"/>
          <w:sz w:val="32"/>
          <w:szCs w:val="32"/>
          <w:u w:color="FFFFFF" w:themeColor="background1"/>
        </w:rPr>
        <w:t>辆，其中，一般公务用车</w:t>
      </w:r>
      <w:r>
        <w:rPr>
          <w:rFonts w:hint="eastAsia" w:ascii="仿宋_GB2312" w:hAnsi="仿宋_GB2312" w:eastAsia="仿宋_GB2312" w:cs="仿宋_GB2312"/>
          <w:color w:val="auto"/>
          <w:sz w:val="32"/>
          <w:szCs w:val="32"/>
          <w:u w:val="single" w:color="FFFFFF" w:themeColor="background1"/>
          <w:lang w:val="en-US" w:eastAsia="zh-CN"/>
        </w:rPr>
        <w:t>1</w:t>
      </w:r>
      <w:r>
        <w:rPr>
          <w:rFonts w:hint="eastAsia" w:ascii="仿宋_GB2312" w:hAnsi="仿宋_GB2312" w:eastAsia="仿宋_GB2312" w:cs="仿宋_GB2312"/>
          <w:color w:val="auto"/>
          <w:sz w:val="32"/>
          <w:szCs w:val="32"/>
          <w:u w:color="FFFFFF" w:themeColor="background1"/>
        </w:rPr>
        <w:t>辆、执法执勤用车</w:t>
      </w:r>
      <w:r>
        <w:rPr>
          <w:rFonts w:hint="eastAsia" w:ascii="仿宋_GB2312" w:hAnsi="仿宋_GB2312" w:eastAsia="仿宋_GB2312" w:cs="仿宋_GB2312"/>
          <w:color w:val="auto"/>
          <w:sz w:val="32"/>
          <w:szCs w:val="32"/>
          <w:u w:val="single" w:color="FFFFFF" w:themeColor="background1"/>
          <w:lang w:val="en-US" w:eastAsia="zh-CN"/>
        </w:rPr>
        <w:t>0</w:t>
      </w:r>
      <w:r>
        <w:rPr>
          <w:rFonts w:hint="eastAsia" w:ascii="仿宋_GB2312" w:hAnsi="仿宋_GB2312" w:eastAsia="仿宋_GB2312" w:cs="仿宋_GB2312"/>
          <w:color w:val="auto"/>
          <w:sz w:val="32"/>
          <w:szCs w:val="32"/>
          <w:u w:color="FFFFFF" w:themeColor="background1"/>
        </w:rPr>
        <w:t>辆、特种专业技术用车</w:t>
      </w:r>
      <w:r>
        <w:rPr>
          <w:rFonts w:hint="eastAsia" w:ascii="仿宋_GB2312" w:hAnsi="仿宋_GB2312" w:eastAsia="仿宋_GB2312" w:cs="仿宋_GB2312"/>
          <w:color w:val="auto"/>
          <w:sz w:val="32"/>
          <w:szCs w:val="32"/>
          <w:u w:val="single" w:color="FFFFFF" w:themeColor="background1"/>
          <w:lang w:val="en-US" w:eastAsia="zh-CN"/>
        </w:rPr>
        <w:t>0</w:t>
      </w:r>
      <w:r>
        <w:rPr>
          <w:rFonts w:hint="eastAsia" w:ascii="仿宋_GB2312" w:hAnsi="仿宋_GB2312" w:eastAsia="仿宋_GB2312" w:cs="仿宋_GB2312"/>
          <w:color w:val="auto"/>
          <w:sz w:val="32"/>
          <w:szCs w:val="32"/>
          <w:u w:color="FFFFFF" w:themeColor="background1"/>
        </w:rPr>
        <w:t>辆、业务用车</w:t>
      </w:r>
      <w:r>
        <w:rPr>
          <w:rFonts w:hint="eastAsia" w:ascii="仿宋_GB2312" w:hAnsi="仿宋_GB2312" w:eastAsia="仿宋_GB2312" w:cs="仿宋_GB2312"/>
          <w:color w:val="auto"/>
          <w:sz w:val="32"/>
          <w:szCs w:val="32"/>
          <w:u w:val="single" w:color="FFFFFF" w:themeColor="background1"/>
          <w:lang w:val="en-US" w:eastAsia="zh-CN"/>
        </w:rPr>
        <w:t>0</w:t>
      </w:r>
      <w:r>
        <w:rPr>
          <w:rFonts w:hint="eastAsia" w:ascii="仿宋_GB2312" w:hAnsi="仿宋_GB2312" w:eastAsia="仿宋_GB2312" w:cs="仿宋_GB2312"/>
          <w:color w:val="auto"/>
          <w:sz w:val="32"/>
          <w:szCs w:val="32"/>
          <w:u w:color="FFFFFF" w:themeColor="background1"/>
        </w:rPr>
        <w:t>辆、其他用车</w:t>
      </w:r>
      <w:r>
        <w:rPr>
          <w:rFonts w:hint="eastAsia" w:ascii="仿宋_GB2312" w:hAnsi="仿宋_GB2312" w:eastAsia="仿宋_GB2312" w:cs="仿宋_GB2312"/>
          <w:color w:val="auto"/>
          <w:sz w:val="32"/>
          <w:szCs w:val="32"/>
          <w:u w:val="single" w:color="FFFFFF" w:themeColor="background1"/>
          <w:lang w:val="en-US" w:eastAsia="zh-CN"/>
        </w:rPr>
        <w:t>0</w:t>
      </w:r>
      <w:r>
        <w:rPr>
          <w:rFonts w:hint="eastAsia" w:ascii="仿宋_GB2312" w:hAnsi="仿宋_GB2312" w:eastAsia="仿宋_GB2312" w:cs="仿宋_GB2312"/>
          <w:color w:val="auto"/>
          <w:sz w:val="32"/>
          <w:szCs w:val="32"/>
          <w:u w:color="FFFFFF" w:themeColor="background1"/>
        </w:rPr>
        <w:t>辆等。单价50万元（含）以上的通用设备</w:t>
      </w:r>
      <w:r>
        <w:rPr>
          <w:rFonts w:hint="eastAsia" w:ascii="仿宋_GB2312" w:hAnsi="仿宋_GB2312" w:eastAsia="仿宋_GB2312" w:cs="仿宋_GB2312"/>
          <w:color w:val="auto"/>
          <w:sz w:val="32"/>
          <w:szCs w:val="32"/>
          <w:u w:val="single" w:color="FFFFFF" w:themeColor="background1"/>
          <w:lang w:val="en-US" w:eastAsia="zh-CN"/>
        </w:rPr>
        <w:t>0</w:t>
      </w:r>
      <w:r>
        <w:rPr>
          <w:rFonts w:hint="eastAsia" w:ascii="仿宋_GB2312" w:hAnsi="仿宋_GB2312" w:eastAsia="仿宋_GB2312" w:cs="仿宋_GB2312"/>
          <w:color w:val="auto"/>
          <w:sz w:val="32"/>
          <w:szCs w:val="32"/>
          <w:u w:color="FFFFFF" w:themeColor="background1"/>
        </w:rPr>
        <w:t>台（套），单价100万元（含）以上</w:t>
      </w:r>
      <w:bookmarkStart w:id="0" w:name="_GoBack"/>
      <w:bookmarkEnd w:id="0"/>
      <w:r>
        <w:rPr>
          <w:rFonts w:hint="eastAsia" w:ascii="仿宋_GB2312" w:hAnsi="仿宋_GB2312" w:eastAsia="仿宋_GB2312" w:cs="仿宋_GB2312"/>
          <w:color w:val="auto"/>
          <w:sz w:val="32"/>
          <w:szCs w:val="32"/>
          <w:u w:color="FFFFFF" w:themeColor="background1"/>
        </w:rPr>
        <w:t>的专用设备</w:t>
      </w:r>
      <w:r>
        <w:rPr>
          <w:rFonts w:hint="eastAsia" w:ascii="仿宋_GB2312" w:hAnsi="仿宋_GB2312" w:eastAsia="仿宋_GB2312" w:cs="仿宋_GB2312"/>
          <w:color w:val="auto"/>
          <w:sz w:val="32"/>
          <w:szCs w:val="32"/>
          <w:u w:val="single" w:color="FFFFFF" w:themeColor="background1"/>
          <w:lang w:val="en-US" w:eastAsia="zh-CN"/>
        </w:rPr>
        <w:t>0</w:t>
      </w:r>
      <w:r>
        <w:rPr>
          <w:rFonts w:hint="eastAsia" w:ascii="仿宋_GB2312" w:hAnsi="仿宋_GB2312" w:eastAsia="仿宋_GB2312" w:cs="仿宋_GB2312"/>
          <w:color w:val="auto"/>
          <w:sz w:val="32"/>
          <w:szCs w:val="32"/>
          <w:u w:color="FFFFFF" w:themeColor="background1"/>
        </w:rPr>
        <w:t>台（套）。</w:t>
      </w:r>
      <w:r>
        <w:rPr>
          <w:rFonts w:hint="eastAsia" w:eastAsia="黑体" w:cs="黑体"/>
          <w:b w:val="0"/>
          <w:bCs w:val="0"/>
          <w:sz w:val="32"/>
          <w:szCs w:val="36"/>
          <w:u w:color="FFFFFF" w:themeColor="background1"/>
          <w:lang w:val="en-US" w:eastAsia="zh-CN"/>
        </w:rPr>
        <w:t xml:space="preserve">  </w:t>
      </w:r>
    </w:p>
    <w:p>
      <w:pPr>
        <w:pageBreakBefore w:val="0"/>
        <w:numPr>
          <w:ilvl w:val="0"/>
          <w:numId w:val="0"/>
        </w:numPr>
        <w:pBdr>
          <w:bottom w:val="single" w:color="FFFFFF" w:sz="4" w:space="30"/>
        </w:pBdr>
        <w:kinsoku/>
        <w:wordWrap/>
        <w:overflowPunct/>
        <w:topLinePunct w:val="0"/>
        <w:bidi w:val="0"/>
        <w:snapToGrid w:val="0"/>
        <w:spacing w:line="600" w:lineRule="exact"/>
        <w:ind w:firstLine="320" w:firstLineChars="100"/>
        <w:rPr>
          <w:rFonts w:eastAsia="仿宋_GB2312" w:cstheme="minorBidi"/>
          <w:sz w:val="32"/>
          <w:szCs w:val="32"/>
          <w:u w:color="FFFFFF" w:themeColor="background1"/>
        </w:rPr>
      </w:pPr>
      <w:r>
        <w:rPr>
          <w:rFonts w:hint="eastAsia" w:eastAsia="黑体" w:cs="黑体"/>
          <w:b w:val="0"/>
          <w:bCs w:val="0"/>
          <w:sz w:val="32"/>
          <w:szCs w:val="36"/>
          <w:u w:color="FFFFFF" w:themeColor="background1"/>
          <w:lang w:val="en-US" w:eastAsia="zh-CN"/>
        </w:rPr>
        <w:t xml:space="preserve">  </w:t>
      </w:r>
      <w:r>
        <w:rPr>
          <w:rFonts w:hint="eastAsia" w:eastAsia="黑体" w:cs="黑体"/>
          <w:b w:val="0"/>
          <w:bCs w:val="0"/>
          <w:sz w:val="32"/>
          <w:szCs w:val="36"/>
          <w:u w:color="FFFFFF" w:themeColor="background1"/>
          <w:lang w:eastAsia="zh-CN"/>
        </w:rPr>
        <w:t>十四、</w:t>
      </w:r>
      <w:r>
        <w:rPr>
          <w:rFonts w:hint="eastAsia" w:eastAsia="黑体" w:cs="黑体"/>
          <w:b w:val="0"/>
          <w:bCs w:val="0"/>
          <w:sz w:val="32"/>
          <w:szCs w:val="36"/>
          <w:u w:color="FFFFFF" w:themeColor="background1"/>
        </w:rPr>
        <w:t>项目绩效目标情况说明</w:t>
      </w:r>
      <w:r>
        <w:rPr>
          <w:rFonts w:hint="eastAsia" w:eastAsia="黑体" w:cs="黑体"/>
          <w:b/>
          <w:bCs/>
          <w:sz w:val="32"/>
          <w:szCs w:val="36"/>
          <w:u w:color="FFFFFF" w:themeColor="background1"/>
        </w:rPr>
        <w:t xml:space="preserve"> </w:t>
      </w:r>
    </w:p>
    <w:p>
      <w:pPr>
        <w:pageBreakBefore w:val="0"/>
        <w:numPr>
          <w:ilvl w:val="0"/>
          <w:numId w:val="0"/>
        </w:numPr>
        <w:pBdr>
          <w:bottom w:val="single" w:color="FFFFFF" w:sz="4" w:space="30"/>
        </w:pBdr>
        <w:kinsoku/>
        <w:wordWrap/>
        <w:overflowPunct/>
        <w:topLinePunct w:val="0"/>
        <w:bidi w:val="0"/>
        <w:snapToGrid w:val="0"/>
        <w:spacing w:line="570" w:lineRule="exact"/>
        <w:rPr>
          <w:rFonts w:hint="eastAsia" w:ascii="仿宋_GB2312" w:hAnsi="仿宋_GB2312" w:eastAsia="仿宋_GB2312" w:cs="仿宋_GB2312"/>
          <w:color w:val="auto"/>
          <w:sz w:val="32"/>
          <w:szCs w:val="32"/>
          <w:u w:color="FFFFFF" w:themeColor="background1"/>
        </w:rPr>
      </w:pPr>
      <w:r>
        <w:rPr>
          <w:rFonts w:hint="eastAsia" w:eastAsia="黑体" w:cs="黑体"/>
          <w:b/>
          <w:bCs/>
          <w:sz w:val="32"/>
          <w:szCs w:val="36"/>
          <w:u w:color="FFFFFF" w:themeColor="background1"/>
          <w:lang w:val="en-US" w:eastAsia="zh-CN"/>
        </w:rPr>
        <w:t xml:space="preserve">    </w:t>
      </w:r>
      <w:r>
        <w:rPr>
          <w:rFonts w:hint="eastAsia" w:ascii="仿宋_GB2312" w:hAnsi="仿宋_GB2312" w:eastAsia="仿宋_GB2312" w:cs="仿宋_GB2312"/>
          <w:color w:val="auto"/>
          <w:sz w:val="32"/>
          <w:szCs w:val="32"/>
          <w:u w:color="FFFFFF" w:themeColor="background1"/>
          <w:lang w:val="en-US" w:eastAsia="zh-CN"/>
        </w:rPr>
        <w:t>2023</w:t>
      </w:r>
      <w:r>
        <w:rPr>
          <w:rFonts w:hint="eastAsia" w:ascii="仿宋_GB2312" w:hAnsi="仿宋_GB2312" w:eastAsia="仿宋_GB2312" w:cs="仿宋_GB2312"/>
          <w:color w:val="auto"/>
          <w:sz w:val="32"/>
          <w:szCs w:val="32"/>
          <w:u w:color="FFFFFF" w:themeColor="background1"/>
        </w:rPr>
        <w:t>年，填报绩效目标的预算项目</w:t>
      </w:r>
      <w:r>
        <w:rPr>
          <w:rFonts w:hint="eastAsia" w:ascii="仿宋_GB2312" w:hAnsi="仿宋_GB2312" w:eastAsia="仿宋_GB2312" w:cs="仿宋_GB2312"/>
          <w:color w:val="auto"/>
          <w:sz w:val="32"/>
          <w:szCs w:val="32"/>
          <w:u w:val="single" w:color="FFFFFF" w:themeColor="background1"/>
          <w:lang w:val="en-US" w:eastAsia="zh-CN"/>
        </w:rPr>
        <w:t>1</w:t>
      </w:r>
      <w:r>
        <w:rPr>
          <w:rFonts w:hint="eastAsia" w:ascii="仿宋_GB2312" w:hAnsi="仿宋_GB2312" w:eastAsia="仿宋_GB2312" w:cs="仿宋_GB2312"/>
          <w:color w:val="auto"/>
          <w:sz w:val="32"/>
          <w:szCs w:val="32"/>
          <w:u w:color="FFFFFF" w:themeColor="background1"/>
        </w:rPr>
        <w:t>个，公开绩效目标</w:t>
      </w:r>
      <w:r>
        <w:rPr>
          <w:rFonts w:hint="eastAsia" w:ascii="仿宋_GB2312" w:hAnsi="仿宋_GB2312" w:eastAsia="仿宋_GB2312" w:cs="仿宋_GB2312"/>
          <w:color w:val="auto"/>
          <w:sz w:val="32"/>
          <w:szCs w:val="32"/>
          <w:u w:val="single" w:color="FFFFFF" w:themeColor="background1"/>
          <w:lang w:val="en-US" w:eastAsia="zh-CN"/>
        </w:rPr>
        <w:t>1</w:t>
      </w:r>
      <w:r>
        <w:rPr>
          <w:rFonts w:hint="eastAsia" w:ascii="仿宋_GB2312" w:hAnsi="仿宋_GB2312" w:eastAsia="仿宋_GB2312" w:cs="仿宋_GB2312"/>
          <w:color w:val="auto"/>
          <w:sz w:val="32"/>
          <w:szCs w:val="32"/>
          <w:u w:color="FFFFFF" w:themeColor="background1"/>
        </w:rPr>
        <w:t>个，公开项目占全部预算项目的100 %。公开填报绩效目标的项目预算</w:t>
      </w:r>
      <w:r>
        <w:rPr>
          <w:rFonts w:hint="eastAsia" w:ascii="仿宋_GB2312" w:hAnsi="仿宋_GB2312" w:eastAsia="仿宋_GB2312" w:cs="仿宋_GB2312"/>
          <w:color w:val="auto"/>
          <w:sz w:val="32"/>
          <w:szCs w:val="32"/>
          <w:u w:val="single" w:color="FFFFFF" w:themeColor="background1"/>
          <w:lang w:val="en-US" w:eastAsia="zh-CN"/>
        </w:rPr>
        <w:t>1500</w:t>
      </w:r>
      <w:r>
        <w:rPr>
          <w:rFonts w:hint="eastAsia" w:ascii="仿宋_GB2312" w:hAnsi="仿宋_GB2312" w:eastAsia="仿宋_GB2312" w:cs="仿宋_GB2312"/>
          <w:color w:val="auto"/>
          <w:sz w:val="32"/>
          <w:szCs w:val="32"/>
          <w:u w:color="FFFFFF" w:themeColor="background1"/>
        </w:rPr>
        <w:t>万元，占全部项目预算的100%。</w:t>
      </w:r>
    </w:p>
    <w:p>
      <w:pPr>
        <w:pageBreakBefore w:val="0"/>
        <w:numPr>
          <w:ilvl w:val="0"/>
          <w:numId w:val="0"/>
        </w:numPr>
        <w:pBdr>
          <w:bottom w:val="single" w:color="FFFFFF" w:sz="4" w:space="30"/>
        </w:pBdr>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u w:color="FFFFFF" w:themeColor="background1"/>
        </w:rPr>
      </w:pPr>
    </w:p>
    <w:p>
      <w:pPr>
        <w:pStyle w:val="7"/>
        <w:pageBreakBefore w:val="0"/>
        <w:tabs>
          <w:tab w:val="left" w:pos="4392"/>
        </w:tabs>
        <w:kinsoku/>
        <w:wordWrap/>
        <w:overflowPunct/>
        <w:topLinePunct w:val="0"/>
        <w:bidi w:val="0"/>
        <w:spacing w:before="0" w:after="0" w:line="600" w:lineRule="exact"/>
        <w:ind w:firstLine="720" w:firstLineChars="200"/>
        <w:jc w:val="center"/>
        <w:rPr>
          <w:rFonts w:hint="eastAsia" w:ascii="方正小标宋简体" w:hAnsi="方正小标宋简体" w:eastAsia="方正小标宋简体" w:cs="方正小标宋简体"/>
          <w:b w:val="0"/>
          <w:bCs w:val="0"/>
          <w:sz w:val="36"/>
          <w:szCs w:val="36"/>
          <w:u w:color="FFFFFF" w:themeColor="background1"/>
        </w:rPr>
      </w:pPr>
      <w:r>
        <w:rPr>
          <w:rFonts w:hint="eastAsia" w:ascii="方正小标宋简体" w:hAnsi="方正小标宋简体" w:eastAsia="方正小标宋简体" w:cs="方正小标宋简体"/>
          <w:b w:val="0"/>
          <w:bCs w:val="0"/>
          <w:sz w:val="36"/>
          <w:szCs w:val="36"/>
          <w:u w:color="FFFFFF" w:themeColor="background1"/>
        </w:rPr>
        <w:t>第三部分   名词解释</w:t>
      </w:r>
    </w:p>
    <w:p>
      <w:pPr>
        <w:rPr>
          <w:sz w:val="36"/>
          <w:szCs w:val="36"/>
          <w:u w:color="FFFFFF" w:themeColor="background1"/>
        </w:rPr>
      </w:pPr>
    </w:p>
    <w:p>
      <w:pPr>
        <w:pageBreakBefore w:val="0"/>
        <w:kinsoku/>
        <w:wordWrap/>
        <w:overflowPunct/>
        <w:topLinePunct w:val="0"/>
        <w:bidi w:val="0"/>
        <w:spacing w:line="600" w:lineRule="exact"/>
        <w:ind w:firstLine="643" w:firstLineChars="200"/>
        <w:rPr>
          <w:rFonts w:eastAsia="仿宋_GB2312" w:cstheme="minorBidi"/>
          <w:sz w:val="32"/>
          <w:szCs w:val="32"/>
          <w:u w:color="FFFFFF" w:themeColor="background1"/>
        </w:rPr>
      </w:pPr>
      <w:r>
        <w:rPr>
          <w:rFonts w:hint="eastAsia" w:eastAsia="仿宋_GB2312" w:cstheme="minorBidi"/>
          <w:b/>
          <w:bCs/>
          <w:sz w:val="32"/>
          <w:szCs w:val="32"/>
          <w:u w:color="FFFFFF" w:themeColor="background1"/>
        </w:rPr>
        <w:t>一、财政拨款：</w:t>
      </w:r>
      <w:r>
        <w:rPr>
          <w:rFonts w:hint="eastAsia" w:eastAsia="仿宋_GB2312" w:cstheme="minorBidi"/>
          <w:sz w:val="32"/>
          <w:szCs w:val="32"/>
          <w:u w:color="FFFFFF" w:themeColor="background1"/>
        </w:rPr>
        <w:t>部门/单位从同级财政部门取得的各类财政拨款，包括一般公共预算拨款、政府性基金预算拨款、国有资本经营预算拨款。</w:t>
      </w:r>
    </w:p>
    <w:p>
      <w:pPr>
        <w:pageBreakBefore w:val="0"/>
        <w:kinsoku/>
        <w:wordWrap/>
        <w:overflowPunct/>
        <w:topLinePunct w:val="0"/>
        <w:bidi w:val="0"/>
        <w:spacing w:line="600" w:lineRule="exact"/>
        <w:ind w:firstLine="643" w:firstLineChars="200"/>
        <w:rPr>
          <w:u w:color="FFFFFF" w:themeColor="background1"/>
        </w:rPr>
      </w:pPr>
      <w:r>
        <w:rPr>
          <w:rFonts w:hint="eastAsia" w:eastAsia="仿宋_GB2312" w:cstheme="minorBidi"/>
          <w:b/>
          <w:bCs/>
          <w:sz w:val="32"/>
          <w:szCs w:val="32"/>
          <w:u w:color="FFFFFF" w:themeColor="background1"/>
        </w:rPr>
        <w:t>二、一般公共预算拨款收入：</w:t>
      </w:r>
      <w:r>
        <w:rPr>
          <w:rFonts w:hint="eastAsia" w:ascii="仿宋" w:hAnsi="仿宋" w:eastAsia="仿宋" w:cs="仿宋"/>
          <w:bCs/>
          <w:sz w:val="30"/>
          <w:szCs w:val="30"/>
          <w:u w:color="FFFFFF" w:themeColor="background1"/>
        </w:rPr>
        <w:t>指市级财政当年拨付的资金。</w:t>
      </w:r>
    </w:p>
    <w:p>
      <w:pPr>
        <w:pageBreakBefore w:val="0"/>
        <w:kinsoku/>
        <w:wordWrap/>
        <w:overflowPunct/>
        <w:topLinePunct w:val="0"/>
        <w:bidi w:val="0"/>
        <w:spacing w:line="600" w:lineRule="exact"/>
        <w:ind w:firstLine="643" w:firstLineChars="200"/>
        <w:rPr>
          <w:rFonts w:eastAsia="仿宋_GB2312" w:cstheme="minorBidi"/>
          <w:sz w:val="32"/>
          <w:szCs w:val="32"/>
          <w:u w:color="FFFFFF" w:themeColor="background1"/>
        </w:rPr>
      </w:pPr>
      <w:r>
        <w:rPr>
          <w:rFonts w:hint="eastAsia" w:eastAsia="仿宋_GB2312" w:cstheme="minorBidi"/>
          <w:b/>
          <w:bCs/>
          <w:sz w:val="32"/>
          <w:szCs w:val="32"/>
          <w:u w:color="FFFFFF" w:themeColor="background1"/>
        </w:rPr>
        <w:t>三、财政专户管理资金：</w:t>
      </w:r>
      <w:r>
        <w:rPr>
          <w:rFonts w:hint="eastAsia" w:eastAsia="仿宋_GB2312" w:cstheme="minorBidi"/>
          <w:sz w:val="32"/>
          <w:szCs w:val="32"/>
          <w:u w:color="FFFFFF" w:themeColor="background1"/>
        </w:rPr>
        <w:t>缴入财政专户、实行专项管理的高中以上学费、住宿费、高校委托培养费、函大、电大、夜大及短训班培训费等教育收费。</w:t>
      </w:r>
    </w:p>
    <w:p>
      <w:pPr>
        <w:pageBreakBefore w:val="0"/>
        <w:kinsoku/>
        <w:wordWrap/>
        <w:overflowPunct/>
        <w:topLinePunct w:val="0"/>
        <w:bidi w:val="0"/>
        <w:spacing w:line="600" w:lineRule="exact"/>
        <w:ind w:firstLine="643" w:firstLineChars="200"/>
        <w:rPr>
          <w:rFonts w:eastAsia="仿宋_GB2312" w:cstheme="minorBidi"/>
          <w:sz w:val="32"/>
          <w:szCs w:val="32"/>
          <w:u w:color="FFFFFF" w:themeColor="background1"/>
        </w:rPr>
      </w:pPr>
      <w:r>
        <w:rPr>
          <w:rFonts w:hint="eastAsia" w:eastAsia="仿宋_GB2312" w:cstheme="minorBidi"/>
          <w:b/>
          <w:bCs/>
          <w:sz w:val="32"/>
          <w:szCs w:val="32"/>
          <w:u w:color="FFFFFF" w:themeColor="background1"/>
        </w:rPr>
        <w:t>四、单位资金：</w:t>
      </w:r>
      <w:r>
        <w:rPr>
          <w:rFonts w:hint="eastAsia" w:eastAsia="仿宋_GB2312" w:cstheme="minorBidi"/>
          <w:sz w:val="32"/>
          <w:szCs w:val="32"/>
          <w:u w:color="FFFFFF" w:themeColor="background1"/>
        </w:rPr>
        <w:t>除财政拨款收入和财政专户管理资金以外的收入，包括事业收入（不含教育收费）、上级补助收入、附属单位上缴收入、事业单位经营收入及其他收入（包含债务收入、投资收益等）。</w:t>
      </w:r>
    </w:p>
    <w:p>
      <w:pPr>
        <w:pageBreakBefore w:val="0"/>
        <w:kinsoku/>
        <w:wordWrap/>
        <w:overflowPunct/>
        <w:topLinePunct w:val="0"/>
        <w:bidi w:val="0"/>
        <w:spacing w:line="600" w:lineRule="exact"/>
        <w:ind w:firstLine="643" w:firstLineChars="200"/>
        <w:rPr>
          <w:rFonts w:eastAsia="仿宋_GB2312" w:cstheme="minorBidi"/>
          <w:sz w:val="32"/>
          <w:szCs w:val="32"/>
          <w:u w:color="FFFFFF" w:themeColor="background1"/>
        </w:rPr>
      </w:pPr>
      <w:r>
        <w:rPr>
          <w:rFonts w:hint="eastAsia" w:eastAsia="仿宋_GB2312" w:cstheme="minorBidi"/>
          <w:b/>
          <w:bCs/>
          <w:sz w:val="32"/>
          <w:szCs w:val="32"/>
          <w:u w:color="FFFFFF" w:themeColor="background1"/>
        </w:rPr>
        <w:t>五、基本支出：</w:t>
      </w:r>
      <w:r>
        <w:rPr>
          <w:rFonts w:hint="eastAsia" w:eastAsia="仿宋_GB2312" w:cstheme="minorBidi"/>
          <w:sz w:val="32"/>
          <w:szCs w:val="32"/>
          <w:u w:color="FFFFFF" w:themeColor="background1"/>
        </w:rPr>
        <w:t>指为保障机构正常运转、完成工作任务而发生的人员支出和公用支出。</w:t>
      </w:r>
    </w:p>
    <w:p>
      <w:pPr>
        <w:pageBreakBefore w:val="0"/>
        <w:kinsoku/>
        <w:wordWrap/>
        <w:overflowPunct/>
        <w:topLinePunct w:val="0"/>
        <w:bidi w:val="0"/>
        <w:spacing w:line="600" w:lineRule="exact"/>
        <w:ind w:firstLine="643" w:firstLineChars="200"/>
        <w:rPr>
          <w:rFonts w:eastAsia="仿宋_GB2312" w:cstheme="minorBidi"/>
          <w:sz w:val="32"/>
          <w:szCs w:val="32"/>
          <w:u w:color="FFFFFF" w:themeColor="background1"/>
        </w:rPr>
      </w:pPr>
      <w:r>
        <w:rPr>
          <w:rFonts w:hint="eastAsia" w:eastAsia="仿宋_GB2312" w:cstheme="minorBidi"/>
          <w:b/>
          <w:bCs/>
          <w:sz w:val="32"/>
          <w:szCs w:val="32"/>
          <w:u w:color="FFFFFF" w:themeColor="background1"/>
        </w:rPr>
        <w:t>六、项目支出：</w:t>
      </w:r>
      <w:r>
        <w:rPr>
          <w:rFonts w:hint="eastAsia" w:eastAsia="仿宋_GB2312" w:cstheme="minorBidi"/>
          <w:sz w:val="32"/>
          <w:szCs w:val="32"/>
          <w:u w:color="FFFFFF" w:themeColor="background1"/>
        </w:rPr>
        <w:t>指在基本支出之外为完成特定工作任务和事业发展目标所发生的支出。</w:t>
      </w:r>
    </w:p>
    <w:p>
      <w:pPr>
        <w:pageBreakBefore w:val="0"/>
        <w:kinsoku/>
        <w:wordWrap/>
        <w:overflowPunct/>
        <w:topLinePunct w:val="0"/>
        <w:bidi w:val="0"/>
        <w:spacing w:line="600" w:lineRule="exact"/>
        <w:ind w:firstLine="643" w:firstLineChars="200"/>
        <w:rPr>
          <w:rFonts w:eastAsia="仿宋_GB2312" w:cstheme="minorBidi"/>
          <w:sz w:val="32"/>
          <w:szCs w:val="32"/>
          <w:u w:color="FFFFFF" w:themeColor="background1"/>
        </w:rPr>
      </w:pPr>
      <w:r>
        <w:rPr>
          <w:rFonts w:hint="eastAsia" w:eastAsia="仿宋_GB2312" w:cstheme="minorBidi"/>
          <w:b/>
          <w:bCs/>
          <w:sz w:val="32"/>
          <w:szCs w:val="32"/>
          <w:u w:color="FFFFFF" w:themeColor="background1"/>
        </w:rPr>
        <w:t>七、对个人和家庭的补助：</w:t>
      </w:r>
      <w:r>
        <w:rPr>
          <w:rFonts w:hint="eastAsia" w:eastAsia="仿宋_GB2312" w:cstheme="minorBidi"/>
          <w:sz w:val="32"/>
          <w:szCs w:val="32"/>
          <w:u w:color="FFFFFF" w:themeColor="background1"/>
        </w:rPr>
        <w:t>是指政府用于对个人和家庭的补助支出。</w:t>
      </w:r>
    </w:p>
    <w:p>
      <w:pPr>
        <w:pageBreakBefore w:val="0"/>
        <w:kinsoku/>
        <w:wordWrap/>
        <w:overflowPunct/>
        <w:topLinePunct w:val="0"/>
        <w:bidi w:val="0"/>
        <w:spacing w:line="600" w:lineRule="exact"/>
        <w:ind w:firstLine="643" w:firstLineChars="200"/>
        <w:rPr>
          <w:rFonts w:eastAsia="仿宋_GB2312" w:cstheme="minorBidi"/>
          <w:sz w:val="32"/>
          <w:szCs w:val="32"/>
          <w:u w:color="FFFFFF" w:themeColor="background1"/>
        </w:rPr>
      </w:pPr>
      <w:r>
        <w:rPr>
          <w:rFonts w:hint="eastAsia" w:eastAsia="仿宋_GB2312" w:cstheme="minorBidi"/>
          <w:b/>
          <w:bCs/>
          <w:sz w:val="32"/>
          <w:szCs w:val="32"/>
          <w:u w:color="FFFFFF" w:themeColor="background1"/>
        </w:rPr>
        <w:t>八、“三公”经费：</w:t>
      </w:r>
      <w:r>
        <w:rPr>
          <w:rFonts w:hint="eastAsia" w:eastAsia="仿宋_GB2312" w:cstheme="minorBidi"/>
          <w:sz w:val="32"/>
          <w:szCs w:val="32"/>
          <w:u w:color="FFFFFF" w:themeColor="background1"/>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pPr>
        <w:pageBreakBefore w:val="0"/>
        <w:kinsoku/>
        <w:wordWrap/>
        <w:overflowPunct/>
        <w:topLinePunct w:val="0"/>
        <w:bidi w:val="0"/>
        <w:spacing w:line="600" w:lineRule="exact"/>
        <w:ind w:firstLine="643" w:firstLineChars="200"/>
        <w:rPr>
          <w:rFonts w:eastAsia="仿宋_GB2312" w:cstheme="minorBidi"/>
          <w:sz w:val="32"/>
          <w:szCs w:val="32"/>
          <w:u w:color="FFFFFF" w:themeColor="background1"/>
        </w:rPr>
      </w:pPr>
      <w:r>
        <w:rPr>
          <w:rFonts w:hint="eastAsia" w:eastAsia="仿宋_GB2312" w:cstheme="minorBidi"/>
          <w:b/>
          <w:bCs/>
          <w:sz w:val="32"/>
          <w:szCs w:val="32"/>
          <w:u w:color="FFFFFF" w:themeColor="background1"/>
        </w:rPr>
        <w:t>九、机关运行经费：</w:t>
      </w:r>
      <w:r>
        <w:rPr>
          <w:rFonts w:hint="eastAsia" w:eastAsia="仿宋_GB2312" w:cstheme="minorBidi"/>
          <w:sz w:val="32"/>
          <w:szCs w:val="32"/>
          <w:u w:color="FFFFFF" w:themeColor="background1"/>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ageBreakBefore w:val="0"/>
        <w:kinsoku/>
        <w:wordWrap/>
        <w:overflowPunct/>
        <w:topLinePunct w:val="0"/>
        <w:bidi w:val="0"/>
        <w:spacing w:line="600" w:lineRule="exact"/>
        <w:ind w:firstLine="643" w:firstLineChars="200"/>
        <w:rPr>
          <w:rFonts w:eastAsia="仿宋_GB2312" w:cstheme="minorBidi"/>
          <w:b/>
          <w:bCs/>
          <w:sz w:val="32"/>
          <w:szCs w:val="32"/>
          <w:u w:color="FFFFFF" w:themeColor="background1"/>
        </w:rPr>
      </w:pPr>
    </w:p>
    <w:p>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36"/>
          <w:szCs w:val="36"/>
          <w:u w:color="FFFFFF" w:themeColor="background1"/>
        </w:rPr>
      </w:pPr>
    </w:p>
    <w:p>
      <w:pPr>
        <w:pageBreakBefore w:val="0"/>
        <w:kinsoku/>
        <w:wordWrap/>
        <w:overflowPunct/>
        <w:topLinePunct w:val="0"/>
        <w:bidi w:val="0"/>
        <w:spacing w:line="600" w:lineRule="exact"/>
        <w:jc w:val="center"/>
        <w:rPr>
          <w:rFonts w:ascii="方正小标宋简体" w:hAnsi="方正小标宋简体" w:eastAsia="方正小标宋简体" w:cs="方正小标宋简体"/>
          <w:b w:val="0"/>
          <w:bCs w:val="0"/>
          <w:sz w:val="36"/>
          <w:szCs w:val="36"/>
          <w:u w:color="FFFFFF" w:themeColor="background1"/>
        </w:rPr>
      </w:pPr>
      <w:r>
        <w:rPr>
          <w:rFonts w:hint="eastAsia" w:ascii="方正小标宋简体" w:hAnsi="方正小标宋简体" w:eastAsia="方正小标宋简体" w:cs="方正小标宋简体"/>
          <w:b w:val="0"/>
          <w:bCs w:val="0"/>
          <w:sz w:val="36"/>
          <w:szCs w:val="36"/>
          <w:u w:color="FFFFFF" w:themeColor="background1"/>
        </w:rPr>
        <w:t>第四部分</w:t>
      </w:r>
      <w:r>
        <w:rPr>
          <w:rFonts w:hint="eastAsia" w:ascii="仿宋" w:hAnsi="仿宋" w:eastAsia="仿宋" w:cs="仿宋"/>
          <w:b w:val="0"/>
          <w:bCs w:val="0"/>
          <w:sz w:val="36"/>
          <w:szCs w:val="36"/>
          <w:u w:color="FFFFFF" w:themeColor="background1"/>
        </w:rPr>
        <w:t xml:space="preserve"> </w:t>
      </w:r>
      <w:r>
        <w:rPr>
          <w:rFonts w:hint="eastAsia" w:ascii="方正小标宋简体" w:hAnsi="方正小标宋简体" w:eastAsia="方正小标宋简体" w:cs="方正小标宋简体"/>
          <w:b w:val="0"/>
          <w:bCs w:val="0"/>
          <w:sz w:val="36"/>
          <w:szCs w:val="36"/>
          <w:u w:color="FFFFFF" w:themeColor="background1"/>
        </w:rPr>
        <w:t>预算公开联系方式及信息反馈渠道</w:t>
      </w:r>
    </w:p>
    <w:p>
      <w:pPr>
        <w:pageBreakBefore w:val="0"/>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u w:color="FFFFFF" w:themeColor="background1"/>
        </w:rPr>
      </w:pPr>
    </w:p>
    <w:p>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u w:color="FFFFFF" w:themeColor="background1"/>
        </w:rPr>
      </w:pPr>
      <w:r>
        <w:rPr>
          <w:rFonts w:hint="eastAsia" w:ascii="仿宋_GB2312" w:hAnsi="仿宋_GB2312" w:eastAsia="仿宋_GB2312" w:cs="仿宋_GB2312"/>
          <w:sz w:val="32"/>
          <w:szCs w:val="32"/>
          <w:u w:color="FFFFFF" w:themeColor="background1"/>
        </w:rPr>
        <w:t>本单位预算公开信息反馈和联系方式：</w:t>
      </w:r>
    </w:p>
    <w:p>
      <w:pPr>
        <w:pageBreakBefore w:val="0"/>
        <w:kinsoku/>
        <w:wordWrap/>
        <w:overflowPunct/>
        <w:topLinePunct w:val="0"/>
        <w:bidi w:val="0"/>
        <w:snapToGrid w:val="0"/>
        <w:spacing w:line="600" w:lineRule="exact"/>
        <w:ind w:firstLine="640" w:firstLineChars="200"/>
        <w:rPr>
          <w:rFonts w:eastAsia="仿宋_GB2312" w:cstheme="minorBidi"/>
          <w:sz w:val="30"/>
          <w:szCs w:val="30"/>
        </w:rPr>
      </w:pPr>
      <w:r>
        <w:rPr>
          <w:rFonts w:hint="eastAsia" w:ascii="仿宋_GB2312" w:hAnsi="仿宋_GB2312" w:eastAsia="仿宋_GB2312" w:cs="仿宋_GB2312"/>
          <w:sz w:val="32"/>
          <w:szCs w:val="32"/>
          <w:u w:color="FFFFFF" w:themeColor="background1"/>
        </w:rPr>
        <w:t>联系人：</w:t>
      </w:r>
      <w:r>
        <w:rPr>
          <w:rFonts w:hint="eastAsia" w:ascii="仿宋_GB2312" w:hAnsi="仿宋_GB2312" w:eastAsia="仿宋_GB2312" w:cs="仿宋_GB2312"/>
          <w:sz w:val="32"/>
          <w:szCs w:val="32"/>
          <w:u w:color="FFFFFF" w:themeColor="background1"/>
          <w:lang w:val="en-US" w:eastAsia="zh-CN"/>
        </w:rPr>
        <w:t>刘畅</w:t>
      </w:r>
      <w:r>
        <w:rPr>
          <w:rFonts w:hint="eastAsia" w:ascii="仿宋_GB2312" w:hAnsi="仿宋_GB2312" w:eastAsia="仿宋_GB2312" w:cs="仿宋_GB2312"/>
          <w:sz w:val="32"/>
          <w:szCs w:val="32"/>
          <w:u w:color="FFFFFF" w:themeColor="background1"/>
        </w:rPr>
        <w:t xml:space="preserve">               联系电话：</w:t>
      </w:r>
      <w:r>
        <w:rPr>
          <w:rFonts w:hint="eastAsia" w:ascii="仿宋_GB2312" w:hAnsi="仿宋_GB2312" w:eastAsia="仿宋_GB2312" w:cs="仿宋_GB2312"/>
          <w:sz w:val="32"/>
          <w:szCs w:val="32"/>
          <w:u w:color="FFFFFF" w:themeColor="background1"/>
          <w:lang w:val="en-US" w:eastAsia="zh-CN"/>
        </w:rPr>
        <w:t>0472-5618592</w:t>
      </w:r>
    </w:p>
    <w:sectPr>
      <w:pgSz w:w="11910" w:h="16840"/>
      <w:pgMar w:top="1580" w:right="1080" w:bottom="280" w:left="10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E4F30D7-0D3A-4272-8464-C680F777406B}"/>
  </w:font>
  <w:font w:name="黑体">
    <w:panose1 w:val="02010609060101010101"/>
    <w:charset w:val="86"/>
    <w:family w:val="auto"/>
    <w:pitch w:val="default"/>
    <w:sig w:usb0="800002BF" w:usb1="38CF7CFA" w:usb2="00000016" w:usb3="00000000" w:csb0="00040001" w:csb1="00000000"/>
    <w:embedRegular r:id="rId2" w:fontKey="{8935B836-1C9D-4D5E-B4E9-725EDACA4C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5614D001-16F7-433D-A664-3EBF48B8A57F}"/>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embedRegular r:id="rId4" w:fontKey="{8A0F00AB-1E26-4D15-BB24-5BFA5839CD8C}"/>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modern"/>
    <w:pitch w:val="default"/>
    <w:sig w:usb0="00000000" w:usb1="00000000" w:usb2="00000000" w:usb3="00000000" w:csb0="00000001" w:csb1="00000000"/>
  </w:font>
  <w:font w:name="Courier">
    <w:altName w:val="Courier New"/>
    <w:panose1 w:val="02070409020205020404"/>
    <w:charset w:val="00"/>
    <w:family w:val="roman"/>
    <w:pitch w:val="default"/>
    <w:sig w:usb0="00000000" w:usb1="00000000" w:usb2="00000000" w:usb3="00000000" w:csb0="00000001" w:csb1="00000000"/>
  </w:font>
  <w:font w:name="Tms Rmn">
    <w:altName w:val="Segoe Print"/>
    <w:panose1 w:val="02020603040505020304"/>
    <w:charset w:val="00"/>
    <w:family w:val="decorative"/>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
    <w:altName w:val="Arial"/>
    <w:panose1 w:val="020B0604020202030204"/>
    <w:charset w:val="00"/>
    <w:family w:val="modern"/>
    <w:pitch w:val="default"/>
    <w:sig w:usb0="00000000" w:usb1="00000000" w:usb2="00000000" w:usb3="00000000" w:csb0="00000001" w:csb1="00000000"/>
  </w:font>
  <w:font w:name="New York">
    <w:altName w:val="Times New Roman"/>
    <w:panose1 w:val="02040503060506020304"/>
    <w:charset w:val="00"/>
    <w:family w:val="decorative"/>
    <w:pitch w:val="default"/>
    <w:sig w:usb0="00000000" w:usb1="00000000" w:usb2="00000000" w:usb3="00000000" w:csb0="00000001" w:csb1="00000000"/>
  </w:font>
  <w:font w:name="Arial Unicode MS">
    <w:altName w:val="宋体"/>
    <w:panose1 w:val="020B0604020202020204"/>
    <w:charset w:val="86"/>
    <w:family w:val="modern"/>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5" w:fontKey="{5DD3297B-55B3-46DA-9C07-5285131F6E11}"/>
  </w:font>
  <w:font w:name="仿宋">
    <w:panose1 w:val="02010609060101010101"/>
    <w:charset w:val="86"/>
    <w:family w:val="auto"/>
    <w:pitch w:val="default"/>
    <w:sig w:usb0="800002BF" w:usb1="38CF7CFA" w:usb2="00000016" w:usb3="00000000" w:csb0="00040001" w:csb1="00000000"/>
    <w:embedRegular r:id="rId6" w:fontKey="{1D2E2B03-1A87-49FF-B74D-C85D985B4342}"/>
  </w:font>
  <w:font w:name="方正楷体_GBK">
    <w:altName w:val="微软雅黑"/>
    <w:panose1 w:val="00000000000000000000"/>
    <w:charset w:val="86"/>
    <w:family w:val="script"/>
    <w:pitch w:val="default"/>
    <w:sig w:usb0="00000000" w:usb1="00000000" w:usb2="00000000" w:usb3="00000000" w:csb0="00040000" w:csb1="00000000"/>
    <w:embedRegular r:id="rId7" w:fontKey="{CFEC1581-9FBF-4066-87F6-2313A8B51637}"/>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roman"/>
    <w:pitch w:val="default"/>
    <w:sig w:usb0="800002BF" w:usb1="38CF7CFA" w:usb2="00000016" w:usb3="00000000" w:csb0="00040001" w:csb1="00000000"/>
    <w:embedRegular r:id="rId8" w:fontKey="{DBA00741-3996-4DB8-99A7-2D0CAD5B2089}"/>
  </w:font>
  <w:font w:name="楷体_GB2312">
    <w:panose1 w:val="02010609030101010101"/>
    <w:charset w:val="86"/>
    <w:family w:val="auto"/>
    <w:pitch w:val="default"/>
    <w:sig w:usb0="00000001" w:usb1="080E0000" w:usb2="00000000" w:usb3="00000000" w:csb0="00040000" w:csb1="00000000"/>
    <w:embedRegular r:id="rId9" w:fontKey="{C6B7AE17-88CD-4A0F-A55D-EF660CB16176}"/>
  </w:font>
  <w:font w:name="方正仿宋_GBK">
    <w:panose1 w:val="02000000000000000000"/>
    <w:charset w:val="86"/>
    <w:family w:val="auto"/>
    <w:pitch w:val="default"/>
    <w:sig w:usb0="A00002BF" w:usb1="38CF7CFA" w:usb2="00082016" w:usb3="00000000" w:csb0="00040001" w:csb1="00000000"/>
    <w:embedRegular r:id="rId10" w:fontKey="{8A9EF6E5-1955-4610-B1CC-CF437C47FE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- 19 -</w:t>
                    </w:r>
                    <w: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AA4C2"/>
    <w:multiLevelType w:val="multilevel"/>
    <w:tmpl w:val="2F6AA4C2"/>
    <w:lvl w:ilvl="0" w:tentative="0">
      <w:start w:val="1"/>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abstractNum w:abstractNumId="2">
    <w:nsid w:val="3DDD0413"/>
    <w:multiLevelType w:val="singleLevel"/>
    <w:tmpl w:val="3DDD0413"/>
    <w:lvl w:ilvl="0" w:tentative="0">
      <w:start w:val="11"/>
      <w:numFmt w:val="chineseCounting"/>
      <w:suff w:val="nothing"/>
      <w:lvlText w:val="%1、"/>
      <w:lvlJc w:val="left"/>
      <w:pPr>
        <w:ind w:left="640" w:leftChars="0" w:firstLine="0" w:firstLineChars="0"/>
      </w:pPr>
      <w:rPr>
        <w:rFonts w:hint="eastAsia"/>
      </w:rPr>
    </w:lvl>
  </w:abstractNum>
  <w:abstractNum w:abstractNumId="3">
    <w:nsid w:val="4EC74364"/>
    <w:multiLevelType w:val="singleLevel"/>
    <w:tmpl w:val="4EC74364"/>
    <w:lvl w:ilvl="0" w:tentative="0">
      <w:start w:val="1"/>
      <w:numFmt w:val="chineseCounting"/>
      <w:suff w:val="nothing"/>
      <w:lvlText w:val="%1、"/>
      <w:lvlJc w:val="left"/>
      <w:rPr>
        <w:rFonts w:hint="eastAsia"/>
      </w:rPr>
    </w:lvl>
  </w:abstractNum>
  <w:abstractNum w:abstractNumId="4">
    <w:nsid w:val="712E317B"/>
    <w:multiLevelType w:val="singleLevel"/>
    <w:tmpl w:val="712E317B"/>
    <w:lvl w:ilvl="0" w:tentative="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YTBlYzE2OTk2OTQ0YTdhNzlhMjNjMTc3YTU2NDk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1A3B"/>
    <w:rsid w:val="002A25F0"/>
    <w:rsid w:val="002A38DC"/>
    <w:rsid w:val="002A3F94"/>
    <w:rsid w:val="002A4CC2"/>
    <w:rsid w:val="002B0E96"/>
    <w:rsid w:val="002B21CC"/>
    <w:rsid w:val="002B3658"/>
    <w:rsid w:val="002B37C5"/>
    <w:rsid w:val="002B7E88"/>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03B4"/>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318C"/>
    <w:rsid w:val="00C34F6D"/>
    <w:rsid w:val="00C3720A"/>
    <w:rsid w:val="00C41DCA"/>
    <w:rsid w:val="00C45720"/>
    <w:rsid w:val="00C51934"/>
    <w:rsid w:val="00C549B2"/>
    <w:rsid w:val="00C55715"/>
    <w:rsid w:val="00C56FA8"/>
    <w:rsid w:val="00C61C00"/>
    <w:rsid w:val="00C62802"/>
    <w:rsid w:val="00C6346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47761"/>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3C84930"/>
    <w:rsid w:val="03DF7E09"/>
    <w:rsid w:val="048320BB"/>
    <w:rsid w:val="04B563C2"/>
    <w:rsid w:val="05531A54"/>
    <w:rsid w:val="05F92C68"/>
    <w:rsid w:val="06571B7A"/>
    <w:rsid w:val="077111CE"/>
    <w:rsid w:val="0772575A"/>
    <w:rsid w:val="07B2574A"/>
    <w:rsid w:val="07DA3A8F"/>
    <w:rsid w:val="089D7C92"/>
    <w:rsid w:val="09C92DD3"/>
    <w:rsid w:val="09CF6E4B"/>
    <w:rsid w:val="0B6B045B"/>
    <w:rsid w:val="0B842CAC"/>
    <w:rsid w:val="0BD554C2"/>
    <w:rsid w:val="0E7B4525"/>
    <w:rsid w:val="10767327"/>
    <w:rsid w:val="11304CEB"/>
    <w:rsid w:val="11AF4DCB"/>
    <w:rsid w:val="12955111"/>
    <w:rsid w:val="12CC6E6D"/>
    <w:rsid w:val="13806E42"/>
    <w:rsid w:val="13A607E7"/>
    <w:rsid w:val="140E7482"/>
    <w:rsid w:val="1440520B"/>
    <w:rsid w:val="14737EE6"/>
    <w:rsid w:val="17BC5001"/>
    <w:rsid w:val="183A0A1F"/>
    <w:rsid w:val="198C1D89"/>
    <w:rsid w:val="1B74013C"/>
    <w:rsid w:val="1CFA34AD"/>
    <w:rsid w:val="1E0D2BED"/>
    <w:rsid w:val="1E591AD6"/>
    <w:rsid w:val="1F14499E"/>
    <w:rsid w:val="1F5B26C7"/>
    <w:rsid w:val="203A4DF7"/>
    <w:rsid w:val="20AB5F58"/>
    <w:rsid w:val="224109E7"/>
    <w:rsid w:val="22A144DF"/>
    <w:rsid w:val="22EB689E"/>
    <w:rsid w:val="2472310C"/>
    <w:rsid w:val="249C2E00"/>
    <w:rsid w:val="26CE5027"/>
    <w:rsid w:val="27F62AEE"/>
    <w:rsid w:val="2866365B"/>
    <w:rsid w:val="2B9D683D"/>
    <w:rsid w:val="2BDD6474"/>
    <w:rsid w:val="2CF23FA9"/>
    <w:rsid w:val="2DDE2C59"/>
    <w:rsid w:val="2E50057C"/>
    <w:rsid w:val="2F204A26"/>
    <w:rsid w:val="2F3045A4"/>
    <w:rsid w:val="2F567AA0"/>
    <w:rsid w:val="30043F67"/>
    <w:rsid w:val="309F5392"/>
    <w:rsid w:val="3161171F"/>
    <w:rsid w:val="319A28B2"/>
    <w:rsid w:val="3276083D"/>
    <w:rsid w:val="33905BDA"/>
    <w:rsid w:val="339B19D0"/>
    <w:rsid w:val="3508551A"/>
    <w:rsid w:val="359C0F7A"/>
    <w:rsid w:val="37776170"/>
    <w:rsid w:val="378B37C3"/>
    <w:rsid w:val="37BE57F0"/>
    <w:rsid w:val="383B0BDA"/>
    <w:rsid w:val="38F2725A"/>
    <w:rsid w:val="3941563D"/>
    <w:rsid w:val="39C037CE"/>
    <w:rsid w:val="3A86167D"/>
    <w:rsid w:val="3AE332B3"/>
    <w:rsid w:val="3C8C247C"/>
    <w:rsid w:val="3D65545B"/>
    <w:rsid w:val="3E7C6D69"/>
    <w:rsid w:val="3EFE191A"/>
    <w:rsid w:val="3FA119B7"/>
    <w:rsid w:val="40177DE3"/>
    <w:rsid w:val="40976810"/>
    <w:rsid w:val="417A1877"/>
    <w:rsid w:val="422711D3"/>
    <w:rsid w:val="432253DD"/>
    <w:rsid w:val="43501007"/>
    <w:rsid w:val="43863DDA"/>
    <w:rsid w:val="444939F2"/>
    <w:rsid w:val="45551365"/>
    <w:rsid w:val="467938A1"/>
    <w:rsid w:val="476F66C2"/>
    <w:rsid w:val="482809DA"/>
    <w:rsid w:val="4A0B7731"/>
    <w:rsid w:val="4A3A7537"/>
    <w:rsid w:val="4A9A751F"/>
    <w:rsid w:val="4AB8212E"/>
    <w:rsid w:val="4AE10089"/>
    <w:rsid w:val="4B177614"/>
    <w:rsid w:val="4B3A3DE4"/>
    <w:rsid w:val="4B77032C"/>
    <w:rsid w:val="4B852596"/>
    <w:rsid w:val="4BCA4DC2"/>
    <w:rsid w:val="4CC43F74"/>
    <w:rsid w:val="4D3806BD"/>
    <w:rsid w:val="4FA56487"/>
    <w:rsid w:val="4FC44EDC"/>
    <w:rsid w:val="504E30E4"/>
    <w:rsid w:val="50997532"/>
    <w:rsid w:val="52C12FB4"/>
    <w:rsid w:val="53097B05"/>
    <w:rsid w:val="535B5D4C"/>
    <w:rsid w:val="53866EE0"/>
    <w:rsid w:val="538F587F"/>
    <w:rsid w:val="544E2FF3"/>
    <w:rsid w:val="551E7F0E"/>
    <w:rsid w:val="55B95F2B"/>
    <w:rsid w:val="55D63612"/>
    <w:rsid w:val="55D9538F"/>
    <w:rsid w:val="56B137E7"/>
    <w:rsid w:val="59654F1B"/>
    <w:rsid w:val="5A650D5A"/>
    <w:rsid w:val="5A8E6B50"/>
    <w:rsid w:val="5B526E3B"/>
    <w:rsid w:val="5D176670"/>
    <w:rsid w:val="5EFB5FCF"/>
    <w:rsid w:val="60976762"/>
    <w:rsid w:val="615674ED"/>
    <w:rsid w:val="61744EA1"/>
    <w:rsid w:val="637048DB"/>
    <w:rsid w:val="64AA146F"/>
    <w:rsid w:val="65335497"/>
    <w:rsid w:val="65D76172"/>
    <w:rsid w:val="66C77325"/>
    <w:rsid w:val="68931D4F"/>
    <w:rsid w:val="68C6406F"/>
    <w:rsid w:val="6A1638AD"/>
    <w:rsid w:val="6B4551DF"/>
    <w:rsid w:val="6B9E2823"/>
    <w:rsid w:val="6C7B77BD"/>
    <w:rsid w:val="6C992C34"/>
    <w:rsid w:val="6CA95923"/>
    <w:rsid w:val="6D756958"/>
    <w:rsid w:val="718B3849"/>
    <w:rsid w:val="73656E86"/>
    <w:rsid w:val="7377015A"/>
    <w:rsid w:val="739D2BFF"/>
    <w:rsid w:val="75A01A91"/>
    <w:rsid w:val="75A62E64"/>
    <w:rsid w:val="75BB53FD"/>
    <w:rsid w:val="75E96582"/>
    <w:rsid w:val="761146D7"/>
    <w:rsid w:val="76470CAA"/>
    <w:rsid w:val="764D1082"/>
    <w:rsid w:val="766F2799"/>
    <w:rsid w:val="773B6256"/>
    <w:rsid w:val="7BF3685D"/>
    <w:rsid w:val="7D07233B"/>
    <w:rsid w:val="7D40391F"/>
    <w:rsid w:val="7DF96BCA"/>
    <w:rsid w:val="7E1251F4"/>
    <w:rsid w:val="7E6416AA"/>
    <w:rsid w:val="7EE66F59"/>
    <w:rsid w:val="7F1A6E76"/>
    <w:rsid w:val="7F1F783D"/>
    <w:rsid w:val="7FAF396D"/>
    <w:rsid w:val="E46DF715"/>
    <w:rsid w:val="EBBBE663"/>
    <w:rsid w:val="F5D50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kern w:val="44"/>
      <w:sz w:val="44"/>
    </w:rPr>
  </w:style>
  <w:style w:type="paragraph" w:styleId="5">
    <w:name w:val="heading 2"/>
    <w:basedOn w:val="1"/>
    <w:next w:val="1"/>
    <w:link w:val="32"/>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6">
    <w:name w:val="heading 3"/>
    <w:basedOn w:val="1"/>
    <w:next w:val="1"/>
    <w:unhideWhenUsed/>
    <w:qFormat/>
    <w:uiPriority w:val="1"/>
    <w:pPr>
      <w:keepNext/>
      <w:keepLines/>
      <w:spacing w:before="260" w:after="260" w:line="413" w:lineRule="auto"/>
      <w:outlineLvl w:val="2"/>
    </w:pPr>
    <w:rPr>
      <w:b/>
      <w:sz w:val="32"/>
    </w:rPr>
  </w:style>
  <w:style w:type="paragraph" w:styleId="7">
    <w:name w:val="heading 4"/>
    <w:basedOn w:val="1"/>
    <w:next w:val="1"/>
    <w:link w:val="37"/>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5"/>
    <w:unhideWhenUsed/>
    <w:qFormat/>
    <w:uiPriority w:val="1"/>
    <w:pPr>
      <w:keepNext/>
      <w:keepLines/>
      <w:spacing w:before="280" w:after="290" w:line="376" w:lineRule="auto"/>
      <w:outlineLvl w:val="4"/>
    </w:pPr>
    <w:rPr>
      <w:b/>
      <w:bCs/>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9">
    <w:name w:val="Normal Indent"/>
    <w:basedOn w:val="1"/>
    <w:next w:val="10"/>
    <w:qFormat/>
    <w:uiPriority w:val="0"/>
    <w:pPr>
      <w:spacing w:line="360" w:lineRule="auto"/>
      <w:ind w:firstLine="420" w:firstLineChars="200"/>
      <w:jc w:val="left"/>
    </w:pPr>
    <w:rPr>
      <w:rFonts w:ascii="仿宋_GB2312" w:hAnsi="Arial" w:eastAsia="仿宋_GB2312"/>
      <w:kern w:val="0"/>
      <w:sz w:val="30"/>
      <w:szCs w:val="30"/>
    </w:rPr>
  </w:style>
  <w:style w:type="paragraph" w:styleId="10">
    <w:name w:val="Body Text"/>
    <w:basedOn w:val="1"/>
    <w:next w:val="11"/>
    <w:link w:val="36"/>
    <w:unhideWhenUsed/>
    <w:qFormat/>
    <w:uiPriority w:val="1"/>
    <w:pPr>
      <w:spacing w:after="120"/>
    </w:pPr>
  </w:style>
  <w:style w:type="paragraph" w:styleId="11">
    <w:name w:val="Body Text 2"/>
    <w:basedOn w:val="1"/>
    <w:next w:val="1"/>
    <w:unhideWhenUsed/>
    <w:qFormat/>
    <w:uiPriority w:val="99"/>
    <w:pPr>
      <w:spacing w:beforeLines="0" w:after="120" w:afterLines="0" w:line="480" w:lineRule="auto"/>
    </w:pPr>
    <w:rPr>
      <w:rFonts w:hint="default"/>
      <w:sz w:val="21"/>
      <w:szCs w:val="24"/>
    </w:rPr>
  </w:style>
  <w:style w:type="paragraph" w:styleId="12">
    <w:name w:val="annotation text"/>
    <w:basedOn w:val="1"/>
    <w:link w:val="28"/>
    <w:unhideWhenUsed/>
    <w:qFormat/>
    <w:uiPriority w:val="99"/>
    <w:pPr>
      <w:jc w:val="left"/>
    </w:pPr>
  </w:style>
  <w:style w:type="paragraph" w:styleId="13">
    <w:name w:val="Balloon Text"/>
    <w:basedOn w:val="1"/>
    <w:link w:val="38"/>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7">
    <w:name w:val="Subtitle"/>
    <w:basedOn w:val="1"/>
    <w:next w:val="1"/>
    <w:link w:val="31"/>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8">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annotation subject"/>
    <w:basedOn w:val="12"/>
    <w:next w:val="12"/>
    <w:link w:val="29"/>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unhideWhenUsed/>
    <w:qFormat/>
    <w:uiPriority w:val="99"/>
    <w:rPr>
      <w:sz w:val="21"/>
      <w:szCs w:val="21"/>
    </w:rPr>
  </w:style>
  <w:style w:type="character" w:customStyle="1" w:styleId="26">
    <w:name w:val="页眉 Char"/>
    <w:basedOn w:val="23"/>
    <w:link w:val="15"/>
    <w:qFormat/>
    <w:uiPriority w:val="99"/>
    <w:rPr>
      <w:sz w:val="18"/>
      <w:szCs w:val="18"/>
    </w:rPr>
  </w:style>
  <w:style w:type="character" w:customStyle="1" w:styleId="27">
    <w:name w:val="页脚 Char"/>
    <w:basedOn w:val="23"/>
    <w:link w:val="14"/>
    <w:qFormat/>
    <w:uiPriority w:val="99"/>
    <w:rPr>
      <w:sz w:val="18"/>
      <w:szCs w:val="18"/>
    </w:rPr>
  </w:style>
  <w:style w:type="character" w:customStyle="1" w:styleId="28">
    <w:name w:val="批注文字 Char"/>
    <w:basedOn w:val="23"/>
    <w:link w:val="12"/>
    <w:qFormat/>
    <w:uiPriority w:val="99"/>
    <w:rPr>
      <w:rFonts w:ascii="Times New Roman" w:hAnsi="Times New Roman" w:eastAsia="Courier New" w:cs="Times New Roman"/>
      <w:szCs w:val="21"/>
    </w:rPr>
  </w:style>
  <w:style w:type="character" w:customStyle="1" w:styleId="29">
    <w:name w:val="批注主题 Char"/>
    <w:basedOn w:val="28"/>
    <w:link w:val="20"/>
    <w:semiHidden/>
    <w:qFormat/>
    <w:uiPriority w:val="99"/>
    <w:rPr>
      <w:rFonts w:ascii="Times New Roman" w:hAnsi="Times New Roman" w:eastAsia="Courier New" w:cs="Times New Roman"/>
      <w:b/>
      <w:bCs/>
      <w:szCs w:val="21"/>
    </w:rPr>
  </w:style>
  <w:style w:type="paragraph" w:customStyle="1" w:styleId="30">
    <w:name w:val="独立格式"/>
    <w:basedOn w:val="17"/>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31">
    <w:name w:val="副标题 Char"/>
    <w:basedOn w:val="23"/>
    <w:link w:val="17"/>
    <w:qFormat/>
    <w:uiPriority w:val="11"/>
    <w:rPr>
      <w:b/>
      <w:bCs/>
      <w:kern w:val="28"/>
      <w:sz w:val="32"/>
      <w:szCs w:val="32"/>
    </w:rPr>
  </w:style>
  <w:style w:type="character" w:customStyle="1" w:styleId="32">
    <w:name w:val="标题 2 Char"/>
    <w:basedOn w:val="23"/>
    <w:link w:val="5"/>
    <w:qFormat/>
    <w:uiPriority w:val="9"/>
    <w:rPr>
      <w:rFonts w:ascii="Arial" w:hAnsi="Arial" w:eastAsia="Symbol" w:cs="Times New Roman"/>
      <w:b/>
      <w:bCs/>
      <w:sz w:val="32"/>
      <w:szCs w:val="32"/>
    </w:rPr>
  </w:style>
  <w:style w:type="paragraph" w:customStyle="1" w:styleId="33">
    <w:name w:val="表格名称"/>
    <w:basedOn w:val="1"/>
    <w:qFormat/>
    <w:uiPriority w:val="0"/>
    <w:pPr>
      <w:spacing w:line="360" w:lineRule="auto"/>
      <w:jc w:val="center"/>
    </w:pPr>
    <w:rPr>
      <w:rFonts w:eastAsia="Helv" w:cs="New York"/>
      <w:b/>
      <w:sz w:val="24"/>
      <w:szCs w:val="24"/>
    </w:rPr>
  </w:style>
  <w:style w:type="paragraph" w:customStyle="1" w:styleId="34">
    <w:name w:val="表格文字"/>
    <w:basedOn w:val="30"/>
    <w:next w:val="1"/>
    <w:qFormat/>
    <w:uiPriority w:val="0"/>
    <w:pPr>
      <w:spacing w:line="360" w:lineRule="exact"/>
    </w:pPr>
    <w:rPr>
      <w:rFonts w:eastAsia="Helv" w:cs="New York"/>
      <w:sz w:val="24"/>
    </w:rPr>
  </w:style>
  <w:style w:type="character" w:customStyle="1" w:styleId="35">
    <w:name w:val="标题 5 Char"/>
    <w:basedOn w:val="23"/>
    <w:link w:val="8"/>
    <w:semiHidden/>
    <w:qFormat/>
    <w:uiPriority w:val="9"/>
    <w:rPr>
      <w:rFonts w:ascii="Times New Roman" w:hAnsi="Times New Roman" w:eastAsia="Courier New" w:cs="Times New Roman"/>
      <w:b/>
      <w:bCs/>
      <w:sz w:val="28"/>
      <w:szCs w:val="28"/>
    </w:rPr>
  </w:style>
  <w:style w:type="character" w:customStyle="1" w:styleId="36">
    <w:name w:val="正文文本 Char"/>
    <w:basedOn w:val="23"/>
    <w:link w:val="10"/>
    <w:semiHidden/>
    <w:qFormat/>
    <w:uiPriority w:val="99"/>
    <w:rPr>
      <w:rFonts w:ascii="Times New Roman" w:hAnsi="Times New Roman" w:eastAsia="Courier New" w:cs="Times New Roman"/>
      <w:szCs w:val="21"/>
    </w:rPr>
  </w:style>
  <w:style w:type="character" w:customStyle="1" w:styleId="37">
    <w:name w:val="标题 4 Char"/>
    <w:basedOn w:val="23"/>
    <w:link w:val="7"/>
    <w:semiHidden/>
    <w:qFormat/>
    <w:uiPriority w:val="9"/>
    <w:rPr>
      <w:rFonts w:asciiTheme="majorHAnsi" w:hAnsiTheme="majorHAnsi" w:eastAsiaTheme="majorEastAsia" w:cstheme="majorBidi"/>
      <w:b/>
      <w:bCs/>
      <w:sz w:val="28"/>
      <w:szCs w:val="28"/>
    </w:rPr>
  </w:style>
  <w:style w:type="character" w:customStyle="1" w:styleId="38">
    <w:name w:val="批注框文本 Char"/>
    <w:basedOn w:val="23"/>
    <w:link w:val="13"/>
    <w:semiHidden/>
    <w:qFormat/>
    <w:uiPriority w:val="99"/>
    <w:rPr>
      <w:rFonts w:ascii="Times New Roman" w:hAnsi="Times New Roman" w:eastAsia="Courier New" w:cs="Times New Roman"/>
      <w:kern w:val="2"/>
      <w:sz w:val="18"/>
      <w:szCs w:val="18"/>
    </w:rPr>
  </w:style>
  <w:style w:type="table" w:customStyle="1" w:styleId="39">
    <w:name w:val="Table Normal"/>
    <w:unhideWhenUsed/>
    <w:qFormat/>
    <w:uiPriority w:val="2"/>
    <w:tblPr>
      <w:tblCellMar>
        <w:top w:w="0" w:type="dxa"/>
        <w:left w:w="0" w:type="dxa"/>
        <w:bottom w:w="0" w:type="dxa"/>
        <w:right w:w="0" w:type="dxa"/>
      </w:tblCellMar>
    </w:tblPr>
  </w:style>
  <w:style w:type="paragraph" w:customStyle="1" w:styleId="40">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41">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8256</Words>
  <Characters>8899</Characters>
  <Lines>80</Lines>
  <Paragraphs>22</Paragraphs>
  <TotalTime>5</TotalTime>
  <ScaleCrop>false</ScaleCrop>
  <LinksUpToDate>false</LinksUpToDate>
  <CharactersWithSpaces>9029</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2022-09-07T01:41:00Z</dcterms:created>
  <dc:creator>Richard Meng</dc:creator>
  <cp:lastModifiedBy>兔子</cp:lastModifiedBy>
  <cp:lastPrinted>2022-09-03T08:20:00Z</cp:lastPrinted>
  <dcterms:modified xsi:type="dcterms:W3CDTF">2023-02-01T02:08:50Z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D01B5B60E3BA4123A53948E7047D96F9</vt:lpwstr>
  </property>
  <property fmtid="{D5CDD505-2E9C-101B-9397-08002B2CF9AE}" pid="4" name="commondata">
    <vt:lpwstr>eyJoZGlkIjoiMDUyZTZiOWNhNTRkM2JiNDQwZWRmZDZjZTIwNDhiY2IifQ==</vt:lpwstr>
  </property>
</Properties>
</file>