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0" w:leftChars="0" w:firstLine="0" w:firstLineChars="0"/>
        <w:jc w:val="center"/>
        <w:rPr>
          <w:rFonts w:hint="eastAsia" w:ascii="黑体" w:hAnsi="黑体" w:eastAsia="黑体" w:cs="黑体"/>
          <w:sz w:val="32"/>
          <w:szCs w:val="28"/>
          <w:lang w:val="en-US" w:eastAsia="zh-CN"/>
        </w:rPr>
      </w:pPr>
      <w:r>
        <w:rPr>
          <w:rFonts w:hint="eastAsia" w:ascii="黑体" w:hAnsi="黑体" w:eastAsia="黑体" w:cs="黑体"/>
          <w:sz w:val="32"/>
          <w:szCs w:val="28"/>
          <w:lang w:val="en-US" w:eastAsia="zh-CN"/>
        </w:rPr>
        <w:t>2021年度包头市60岁老年人意外伤害险</w:t>
      </w:r>
    </w:p>
    <w:p>
      <w:pPr>
        <w:ind w:left="0" w:leftChars="0" w:firstLine="0" w:firstLineChars="0"/>
        <w:jc w:val="center"/>
        <w:rPr>
          <w:rFonts w:hint="eastAsia" w:ascii="黑体" w:hAnsi="黑体" w:eastAsia="黑体" w:cs="黑体"/>
          <w:sz w:val="32"/>
          <w:szCs w:val="28"/>
          <w:lang w:val="en-US" w:eastAsia="zh-CN"/>
        </w:rPr>
      </w:pPr>
      <w:r>
        <w:rPr>
          <w:rFonts w:hint="eastAsia" w:ascii="黑体" w:hAnsi="黑体" w:eastAsia="黑体" w:cs="黑体"/>
          <w:sz w:val="32"/>
          <w:szCs w:val="28"/>
          <w:lang w:val="en-US" w:eastAsia="zh-CN"/>
        </w:rPr>
        <w:t>项目支出绩效自评报告</w:t>
      </w:r>
    </w:p>
    <w:p>
      <w:pPr>
        <w:ind w:left="0" w:leftChars="0" w:firstLine="0" w:firstLineChars="0"/>
        <w:jc w:val="center"/>
        <w:rPr>
          <w:rFonts w:hint="eastAsia" w:ascii="黑体" w:hAnsi="黑体" w:eastAsia="黑体" w:cs="黑体"/>
          <w:sz w:val="32"/>
          <w:szCs w:val="28"/>
          <w:lang w:val="en-US" w:eastAsia="zh-CN"/>
        </w:rPr>
      </w:pPr>
      <w:r>
        <w:rPr>
          <w:rFonts w:hint="eastAsia" w:ascii="黑体" w:hAnsi="黑体" w:eastAsia="黑体" w:cs="黑体"/>
          <w:sz w:val="32"/>
          <w:szCs w:val="28"/>
          <w:lang w:val="en-US" w:eastAsia="zh-CN"/>
        </w:rPr>
        <w:t>（包头市民政局）</w:t>
      </w:r>
    </w:p>
    <w:p>
      <w:pPr>
        <w:numPr>
          <w:ilvl w:val="0"/>
          <w:numId w:val="0"/>
        </w:numPr>
        <w:ind w:firstLine="600" w:firstLineChars="200"/>
        <w:rPr>
          <w:rFonts w:hint="eastAsia" w:ascii="黑体" w:hAnsi="黑体" w:eastAsia="黑体" w:cs="黑体"/>
          <w:lang w:val="en-US" w:eastAsia="zh-CN"/>
        </w:rPr>
      </w:pPr>
      <w:r>
        <w:rPr>
          <w:rFonts w:hint="eastAsia" w:ascii="黑体" w:hAnsi="黑体" w:eastAsia="黑体" w:cs="黑体"/>
          <w:lang w:val="en-US" w:eastAsia="zh-CN"/>
        </w:rPr>
        <w:t xml:space="preserve">一、项目基本情况 </w:t>
      </w:r>
    </w:p>
    <w:p>
      <w:pPr>
        <w:numPr>
          <w:ilvl w:val="0"/>
          <w:numId w:val="0"/>
        </w:numPr>
        <w:ind w:leftChars="0" w:firstLine="602" w:firstLineChars="200"/>
        <w:rPr>
          <w:rFonts w:hint="eastAsia" w:ascii="楷体" w:hAnsi="楷体" w:eastAsia="楷体" w:cs="楷体"/>
          <w:b/>
          <w:bCs/>
          <w:lang w:val="en-US" w:eastAsia="zh-CN"/>
        </w:rPr>
      </w:pPr>
      <w:r>
        <w:rPr>
          <w:rFonts w:hint="eastAsia" w:ascii="楷体" w:hAnsi="楷体" w:eastAsia="楷体" w:cs="楷体"/>
          <w:b/>
          <w:bCs/>
          <w:lang w:val="en-US" w:eastAsia="zh-CN"/>
        </w:rPr>
        <w:t>（一）项目基本情况简介</w:t>
      </w:r>
    </w:p>
    <w:p>
      <w:pPr>
        <w:bidi w:val="0"/>
        <w:rPr>
          <w:rFonts w:hint="default" w:ascii="仿宋" w:hAnsi="仿宋" w:eastAsia="仿宋" w:cs="仿宋"/>
          <w:sz w:val="32"/>
          <w:szCs w:val="32"/>
          <w:lang w:val="en-US" w:eastAsia="zh-CN"/>
        </w:rPr>
      </w:pPr>
      <w:r>
        <w:rPr>
          <w:rFonts w:hint="eastAsia" w:ascii="仿宋" w:hAnsi="仿宋" w:eastAsia="仿宋" w:cs="仿宋"/>
          <w:sz w:val="32"/>
          <w:szCs w:val="32"/>
          <w:lang w:eastAsia="zh-CN"/>
        </w:rPr>
        <w:t>根据</w:t>
      </w:r>
      <w:r>
        <w:rPr>
          <w:rFonts w:hint="eastAsia" w:ascii="仿宋" w:hAnsi="仿宋" w:eastAsia="仿宋" w:cs="仿宋"/>
          <w:sz w:val="32"/>
          <w:szCs w:val="32"/>
        </w:rPr>
        <w:t>《关于开展老年人意外伤害保险工作的指导意见》(全国老龄办发[2016]32号)、《内蒙古自治区人民政府办公厅关于加快发展商业养老保险的实施意见》(内政办发[2017]179号)、《内蒙古自治区人民政府办公厅关于制定和实施老年人照顾服务项目的实施意见》(内政办发[2017]180号)</w:t>
      </w:r>
      <w:r>
        <w:rPr>
          <w:rFonts w:hint="eastAsia" w:ascii="仿宋" w:hAnsi="仿宋" w:eastAsia="仿宋" w:cs="仿宋"/>
          <w:sz w:val="32"/>
          <w:szCs w:val="32"/>
          <w:lang w:eastAsia="zh-CN"/>
        </w:rPr>
        <w:t>、</w:t>
      </w:r>
      <w:r>
        <w:rPr>
          <w:rFonts w:hint="eastAsia" w:ascii="仿宋" w:hAnsi="仿宋" w:eastAsia="仿宋" w:cs="仿宋"/>
          <w:sz w:val="32"/>
          <w:szCs w:val="32"/>
        </w:rPr>
        <w:t>《内蒙古自治区关于开展老年人意外伤害保险工作的指导意见》内老龄办发〔2017〕1号文件精神</w:t>
      </w:r>
      <w:r>
        <w:rPr>
          <w:rFonts w:hint="eastAsia" w:ascii="仿宋" w:hAnsi="仿宋" w:eastAsia="仿宋" w:cs="仿宋"/>
          <w:sz w:val="32"/>
          <w:szCs w:val="32"/>
          <w:lang w:eastAsia="zh-CN"/>
        </w:rPr>
        <w:t>，为</w:t>
      </w:r>
      <w:r>
        <w:rPr>
          <w:rFonts w:hint="eastAsia" w:ascii="仿宋" w:hAnsi="仿宋" w:eastAsia="仿宋" w:cs="仿宋"/>
          <w:sz w:val="32"/>
          <w:szCs w:val="32"/>
          <w:lang w:val="en-US" w:eastAsia="zh-CN"/>
        </w:rPr>
        <w:t>包头市60岁（含）以上老年人购买意外伤害险。</w:t>
      </w:r>
    </w:p>
    <w:p>
      <w:pPr>
        <w:numPr>
          <w:ilvl w:val="0"/>
          <w:numId w:val="0"/>
        </w:numPr>
        <w:ind w:leftChars="0" w:firstLine="602" w:firstLineChars="200"/>
        <w:rPr>
          <w:rFonts w:hint="eastAsia" w:ascii="楷体" w:hAnsi="楷体" w:eastAsia="楷体" w:cs="楷体"/>
          <w:b/>
          <w:bCs/>
          <w:lang w:val="en-US" w:eastAsia="zh-CN"/>
        </w:rPr>
      </w:pPr>
      <w:r>
        <w:rPr>
          <w:rFonts w:hint="eastAsia" w:ascii="楷体" w:hAnsi="楷体" w:eastAsia="楷体" w:cs="楷体"/>
          <w:b/>
          <w:bCs/>
          <w:lang w:val="en-US" w:eastAsia="zh-CN"/>
        </w:rPr>
        <w:t>（二）绩效目标设定及指标完成情况</w:t>
      </w:r>
    </w:p>
    <w:p>
      <w:pPr>
        <w:rPr>
          <w:rFonts w:hint="default" w:ascii="Times New Roman" w:hAnsi="Times New Roman"/>
          <w:b/>
          <w:bCs/>
          <w:color w:val="auto"/>
          <w:lang w:val="en-US" w:eastAsia="zh-CN"/>
        </w:rPr>
      </w:pPr>
      <w:r>
        <w:rPr>
          <w:rFonts w:hint="eastAsia" w:ascii="Times New Roman" w:hAnsi="Times New Roman"/>
          <w:b/>
          <w:bCs/>
          <w:color w:val="auto"/>
          <w:lang w:val="en-US" w:eastAsia="zh-CN"/>
        </w:rPr>
        <w:t>1.绩效目标设定情况。</w:t>
      </w:r>
    </w:p>
    <w:p>
      <w:pPr>
        <w:bidi w:val="0"/>
        <w:rPr>
          <w:rFonts w:hint="eastAsia" w:ascii="Times New Roman" w:hAnsi="Times New Roman"/>
          <w:color w:val="auto"/>
          <w:lang w:val="en-US" w:eastAsia="zh-CN"/>
        </w:rPr>
      </w:pPr>
      <w:r>
        <w:rPr>
          <w:rFonts w:hint="eastAsia" w:ascii="Times New Roman" w:hAnsi="Times New Roman"/>
          <w:color w:val="auto"/>
          <w:lang w:val="en-US" w:eastAsia="zh-CN"/>
        </w:rPr>
        <w:t>进一步完善政府引导、市场运作、体现公益、投保自愿相结合的老年人意外伤害保险制度，积极探索政府补贴、社会赞助和个人出资购买等多种形式的意外伤害保险参保机制</w:t>
      </w:r>
      <w:r>
        <w:rPr>
          <w:rFonts w:hint="eastAsia"/>
          <w:color w:val="auto"/>
          <w:lang w:val="en-US" w:eastAsia="zh-CN"/>
        </w:rPr>
        <w:t>。</w:t>
      </w:r>
    </w:p>
    <w:p>
      <w:pPr>
        <w:rPr>
          <w:rFonts w:hint="default" w:eastAsia="仿宋_GB2312"/>
          <w:b/>
          <w:bCs/>
          <w:color w:val="auto"/>
          <w:lang w:val="en-US" w:eastAsia="zh-CN"/>
        </w:rPr>
      </w:pPr>
      <w:r>
        <w:rPr>
          <w:rFonts w:hint="eastAsia"/>
          <w:b/>
          <w:bCs/>
          <w:color w:val="auto"/>
          <w:lang w:val="en-US" w:eastAsia="zh-CN"/>
        </w:rPr>
        <w:t>2</w:t>
      </w:r>
      <w:r>
        <w:rPr>
          <w:rFonts w:hint="eastAsia" w:ascii="Times New Roman" w:hAnsi="Times New Roman"/>
          <w:b/>
          <w:bCs/>
          <w:color w:val="auto"/>
          <w:lang w:val="en-US" w:eastAsia="zh-CN"/>
        </w:rPr>
        <w:t>.绩效指标完成情况</w:t>
      </w:r>
      <w:r>
        <w:rPr>
          <w:rFonts w:hint="eastAsia"/>
          <w:b/>
          <w:bCs/>
          <w:color w:val="auto"/>
          <w:lang w:val="en-US" w:eastAsia="zh-CN"/>
        </w:rPr>
        <w:t>。</w:t>
      </w:r>
    </w:p>
    <w:p>
      <w:pPr>
        <w:bidi w:val="0"/>
        <w:rPr>
          <w:rFonts w:hint="eastAsia"/>
          <w:b w:val="0"/>
          <w:bCs w:val="0"/>
          <w:color w:val="auto"/>
          <w:lang w:val="en-US" w:eastAsia="zh-CN"/>
        </w:rPr>
      </w:pPr>
      <w:r>
        <w:rPr>
          <w:rFonts w:hint="eastAsia"/>
          <w:b w:val="0"/>
          <w:bCs w:val="0"/>
          <w:color w:val="auto"/>
          <w:lang w:val="en-US" w:eastAsia="zh-CN"/>
        </w:rPr>
        <w:t>实现包头市54.036万的60岁（含）以上老年人意外伤害保险全覆盖的目标。项目预期产出、预期效益基本实现，各项指标完成情况良好。</w:t>
      </w:r>
    </w:p>
    <w:p>
      <w:pPr>
        <w:numPr>
          <w:ilvl w:val="0"/>
          <w:numId w:val="0"/>
        </w:numPr>
        <w:ind w:firstLine="600" w:firstLineChars="200"/>
        <w:rPr>
          <w:rFonts w:hint="eastAsia" w:ascii="黑体" w:hAnsi="黑体" w:eastAsia="黑体" w:cs="黑体"/>
          <w:lang w:val="en-US" w:eastAsia="zh-CN"/>
        </w:rPr>
      </w:pPr>
      <w:r>
        <w:rPr>
          <w:rFonts w:hint="eastAsia" w:ascii="黑体" w:hAnsi="黑体" w:eastAsia="黑体" w:cs="黑体"/>
          <w:lang w:val="en-US" w:eastAsia="zh-CN"/>
        </w:rPr>
        <w:t xml:space="preserve">二、绩效自评工作情况 </w:t>
      </w:r>
    </w:p>
    <w:p>
      <w:pPr>
        <w:numPr>
          <w:ilvl w:val="0"/>
          <w:numId w:val="0"/>
        </w:numPr>
        <w:ind w:leftChars="0" w:firstLine="602" w:firstLineChars="200"/>
        <w:rPr>
          <w:rFonts w:hint="eastAsia" w:ascii="楷体" w:hAnsi="楷体" w:eastAsia="楷体" w:cs="楷体"/>
          <w:b/>
          <w:bCs/>
          <w:lang w:val="en-US" w:eastAsia="zh-CN"/>
        </w:rPr>
      </w:pPr>
      <w:r>
        <w:rPr>
          <w:rFonts w:hint="eastAsia" w:ascii="楷体" w:hAnsi="楷体" w:eastAsia="楷体" w:cs="楷体"/>
          <w:b/>
          <w:bCs/>
          <w:lang w:val="en-US" w:eastAsia="zh-CN"/>
        </w:rPr>
        <w:t xml:space="preserve">（一）绩效自评目的 </w:t>
      </w:r>
    </w:p>
    <w:p>
      <w:pPr>
        <w:rPr>
          <w:rFonts w:hint="default"/>
          <w:color w:val="auto"/>
          <w:lang w:val="en-US" w:eastAsia="zh-CN"/>
        </w:rPr>
      </w:pPr>
      <w:r>
        <w:rPr>
          <w:rFonts w:hint="eastAsia" w:ascii="Times New Roman" w:hAnsi="Times New Roman"/>
          <w:color w:val="auto"/>
          <w:lang w:val="en-US" w:eastAsia="zh-CN"/>
        </w:rPr>
        <w:t>按照《内蒙古自治区项目支出绩效评价管理办法》（内政办发〔2021〕5号）等文件要求</w:t>
      </w:r>
      <w:r>
        <w:rPr>
          <w:rFonts w:hint="eastAsia"/>
          <w:color w:val="auto"/>
          <w:lang w:val="en-US" w:eastAsia="zh-CN"/>
        </w:rPr>
        <w:t>，采用定量与定性评价相结合的比较法，对项目开展绩效自评工作，全面了解项目实施情况、实施进度、项目目标实现程度以及预算资金执行情况等，总结项目实施过程中存在的问题和经验做法，建立健全项目管理制度，切实提高财政资金使用效益。此外，通过绩效自评工作，进一步强化了我单位各级工作人员绩效意识、责任意识，全面提升部门预算绩效管理水平。</w:t>
      </w:r>
    </w:p>
    <w:p>
      <w:pPr>
        <w:numPr>
          <w:ilvl w:val="0"/>
          <w:numId w:val="0"/>
        </w:numPr>
        <w:ind w:leftChars="0" w:firstLine="602" w:firstLineChars="200"/>
        <w:rPr>
          <w:rFonts w:hint="eastAsia" w:ascii="楷体" w:hAnsi="楷体" w:eastAsia="楷体" w:cs="楷体"/>
          <w:b/>
          <w:bCs/>
          <w:lang w:val="en-US" w:eastAsia="zh-CN"/>
        </w:rPr>
      </w:pPr>
      <w:r>
        <w:rPr>
          <w:rFonts w:hint="eastAsia" w:ascii="楷体" w:hAnsi="楷体" w:eastAsia="楷体" w:cs="楷体"/>
          <w:b/>
          <w:bCs/>
          <w:lang w:val="en-US" w:eastAsia="zh-CN"/>
        </w:rPr>
        <w:t>（二）项目资金投入情况</w:t>
      </w:r>
    </w:p>
    <w:p>
      <w:pPr>
        <w:rPr>
          <w:rFonts w:hint="eastAsia" w:ascii="Times New Roman" w:hAnsi="Times New Roman"/>
          <w:color w:val="auto"/>
          <w:lang w:val="en-US" w:eastAsia="zh-CN"/>
        </w:rPr>
      </w:pPr>
      <w:r>
        <w:rPr>
          <w:rFonts w:hint="eastAsia" w:ascii="Times New Roman" w:hAnsi="Times New Roman"/>
          <w:color w:val="auto"/>
          <w:lang w:val="en-US" w:eastAsia="zh-CN"/>
        </w:rPr>
        <w:t>项目全年预算</w:t>
      </w:r>
      <w:r>
        <w:rPr>
          <w:rFonts w:hint="eastAsia"/>
          <w:color w:val="auto"/>
          <w:lang w:val="en-US" w:eastAsia="zh-CN"/>
        </w:rPr>
        <w:t>707</w:t>
      </w:r>
      <w:r>
        <w:rPr>
          <w:rFonts w:hint="eastAsia" w:ascii="Times New Roman" w:hAnsi="Times New Roman"/>
          <w:color w:val="auto"/>
          <w:lang w:val="en-US" w:eastAsia="zh-CN"/>
        </w:rPr>
        <w:t>万元，全部为一般公共预算。</w:t>
      </w:r>
    </w:p>
    <w:p>
      <w:pPr>
        <w:numPr>
          <w:ilvl w:val="0"/>
          <w:numId w:val="1"/>
        </w:numPr>
        <w:rPr>
          <w:rFonts w:hint="eastAsia" w:ascii="楷体" w:hAnsi="楷体" w:eastAsia="楷体" w:cs="楷体"/>
          <w:b/>
          <w:bCs/>
          <w:lang w:val="en-US" w:eastAsia="zh-CN"/>
        </w:rPr>
      </w:pPr>
      <w:r>
        <w:rPr>
          <w:rFonts w:hint="eastAsia" w:ascii="楷体" w:hAnsi="楷体" w:eastAsia="楷体" w:cs="楷体"/>
          <w:b/>
          <w:bCs/>
          <w:lang w:val="en-US" w:eastAsia="zh-CN"/>
        </w:rPr>
        <w:t>项目资金产出情况</w:t>
      </w:r>
    </w:p>
    <w:p>
      <w:pPr>
        <w:numPr>
          <w:ilvl w:val="0"/>
          <w:numId w:val="0"/>
        </w:numPr>
        <w:ind w:firstLine="600" w:firstLineChars="200"/>
        <w:rPr>
          <w:rFonts w:hint="default" w:ascii="Times New Roman" w:hAnsi="Times New Roman"/>
          <w:color w:val="FF0000"/>
          <w:lang w:val="en-US" w:eastAsia="zh-CN"/>
        </w:rPr>
      </w:pPr>
      <w:r>
        <w:rPr>
          <w:rFonts w:hint="eastAsia" w:ascii="Times New Roman" w:hAnsi="Times New Roman"/>
          <w:color w:val="auto"/>
          <w:lang w:val="en-US" w:eastAsia="zh-CN"/>
        </w:rPr>
        <w:t>截至202</w:t>
      </w:r>
      <w:r>
        <w:rPr>
          <w:rFonts w:hint="eastAsia"/>
          <w:color w:val="auto"/>
          <w:lang w:val="en-US" w:eastAsia="zh-CN"/>
        </w:rPr>
        <w:t>1</w:t>
      </w:r>
      <w:r>
        <w:rPr>
          <w:rFonts w:hint="eastAsia" w:ascii="Times New Roman" w:hAnsi="Times New Roman"/>
          <w:color w:val="auto"/>
          <w:lang w:val="en-US" w:eastAsia="zh-CN"/>
        </w:rPr>
        <w:t>年底，项目预算支出</w:t>
      </w:r>
      <w:r>
        <w:rPr>
          <w:rFonts w:hint="eastAsia"/>
          <w:color w:val="auto"/>
          <w:lang w:val="en-US" w:eastAsia="zh-CN"/>
        </w:rPr>
        <w:t>707</w:t>
      </w:r>
      <w:r>
        <w:rPr>
          <w:rFonts w:hint="eastAsia" w:ascii="Times New Roman" w:hAnsi="Times New Roman"/>
          <w:color w:val="auto"/>
          <w:lang w:val="en-US" w:eastAsia="zh-CN"/>
        </w:rPr>
        <w:t>万元，预算执行率</w:t>
      </w:r>
      <w:r>
        <w:rPr>
          <w:rFonts w:hint="eastAsia"/>
          <w:color w:val="auto"/>
          <w:lang w:val="en-US" w:eastAsia="zh-CN"/>
        </w:rPr>
        <w:t>707</w:t>
      </w:r>
      <w:r>
        <w:rPr>
          <w:rFonts w:hint="eastAsia" w:ascii="Times New Roman" w:hAnsi="Times New Roman"/>
          <w:color w:val="auto"/>
          <w:lang w:val="en-US" w:eastAsia="zh-CN"/>
        </w:rPr>
        <w:t>万元</w:t>
      </w:r>
      <w:r>
        <w:rPr>
          <w:rFonts w:hint="eastAsia"/>
          <w:color w:val="auto"/>
          <w:lang w:val="en-US" w:eastAsia="zh-CN"/>
        </w:rPr>
        <w:t>。预算资金具体支出情况：向保险公司支付60岁（含）以上老年人意外伤害险保费707万元。</w:t>
      </w:r>
    </w:p>
    <w:p>
      <w:pPr>
        <w:numPr>
          <w:ilvl w:val="0"/>
          <w:numId w:val="0"/>
        </w:numPr>
        <w:ind w:leftChars="0" w:firstLine="602" w:firstLineChars="200"/>
        <w:rPr>
          <w:rFonts w:hint="eastAsia" w:eastAsia="仿宋_GB2312"/>
          <w:b/>
          <w:bCs/>
          <w:color w:val="0000FF"/>
          <w:lang w:eastAsia="zh-CN"/>
        </w:rPr>
      </w:pPr>
      <w:r>
        <w:rPr>
          <w:rFonts w:hint="eastAsia" w:ascii="楷体" w:hAnsi="楷体" w:eastAsia="楷体" w:cs="楷体"/>
          <w:b/>
          <w:bCs/>
          <w:lang w:val="en-US" w:eastAsia="zh-CN"/>
        </w:rPr>
        <w:t>（四）项目资金管理情况</w:t>
      </w:r>
      <w:r>
        <w:rPr>
          <w:rFonts w:hint="eastAsia"/>
          <w:b/>
          <w:bCs/>
        </w:rPr>
        <w:t xml:space="preserve"> </w:t>
      </w:r>
    </w:p>
    <w:p>
      <w:pPr>
        <w:rPr>
          <w:rFonts w:hint="default"/>
          <w:color w:val="auto"/>
          <w:lang w:val="en-US" w:eastAsia="zh-CN"/>
        </w:rPr>
      </w:pPr>
      <w:r>
        <w:rPr>
          <w:rFonts w:hint="eastAsia"/>
          <w:color w:val="auto"/>
          <w:lang w:val="en-US" w:eastAsia="zh-CN"/>
        </w:rPr>
        <w:t>通过抽查核查各项支出凭证，项目资金使用严格执行我单位制定的财务管理制度或相关资金管理办法，支出审批手续规范，支出附件齐全，大项支出均经据党组会议研究审核审议，且资金使用符合预算批复用途或合同规定用途，</w:t>
      </w:r>
      <w:r>
        <w:rPr>
          <w:rFonts w:hint="default"/>
          <w:color w:val="auto"/>
          <w:lang w:val="en-US" w:eastAsia="zh-CN"/>
        </w:rPr>
        <w:t>未发生超范围、超标准支出，</w:t>
      </w:r>
      <w:r>
        <w:rPr>
          <w:rFonts w:hint="eastAsia"/>
          <w:color w:val="auto"/>
          <w:lang w:val="en-US" w:eastAsia="zh-CN"/>
        </w:rPr>
        <w:t>不存在截留、挤占、挪用、虚列支出</w:t>
      </w:r>
      <w:r>
        <w:rPr>
          <w:rFonts w:hint="default"/>
          <w:color w:val="auto"/>
          <w:lang w:val="en-US" w:eastAsia="zh-CN"/>
        </w:rPr>
        <w:t>以及其他不符合制度规定的支出，</w:t>
      </w:r>
      <w:r>
        <w:rPr>
          <w:rFonts w:hint="eastAsia"/>
          <w:color w:val="auto"/>
          <w:lang w:val="en-US" w:eastAsia="zh-CN"/>
        </w:rPr>
        <w:t>严格</w:t>
      </w:r>
      <w:r>
        <w:rPr>
          <w:rFonts w:hint="default"/>
          <w:color w:val="auto"/>
          <w:lang w:val="en-US" w:eastAsia="zh-CN"/>
        </w:rPr>
        <w:t>规范执行会计核算制度。</w:t>
      </w:r>
    </w:p>
    <w:p>
      <w:pPr>
        <w:numPr>
          <w:ilvl w:val="0"/>
          <w:numId w:val="0"/>
        </w:numPr>
        <w:ind w:firstLine="600" w:firstLineChars="200"/>
        <w:rPr>
          <w:rFonts w:hint="eastAsia" w:ascii="黑体" w:hAnsi="黑体" w:eastAsia="黑体" w:cs="黑体"/>
          <w:lang w:val="en-US" w:eastAsia="zh-CN"/>
        </w:rPr>
      </w:pPr>
      <w:r>
        <w:rPr>
          <w:rFonts w:hint="eastAsia" w:ascii="黑体" w:hAnsi="黑体" w:eastAsia="黑体" w:cs="黑体"/>
          <w:lang w:val="en-US" w:eastAsia="zh-CN"/>
        </w:rPr>
        <w:t xml:space="preserve">三、项目绩效情况 </w:t>
      </w:r>
    </w:p>
    <w:p>
      <w:pPr>
        <w:numPr>
          <w:ilvl w:val="0"/>
          <w:numId w:val="0"/>
        </w:numPr>
        <w:ind w:leftChars="0" w:firstLine="602" w:firstLineChars="200"/>
        <w:rPr>
          <w:rFonts w:hint="eastAsia" w:ascii="楷体" w:hAnsi="楷体" w:eastAsia="楷体" w:cs="楷体"/>
          <w:b/>
          <w:bCs/>
          <w:lang w:val="en-US" w:eastAsia="zh-CN"/>
        </w:rPr>
      </w:pPr>
      <w:r>
        <w:rPr>
          <w:rFonts w:hint="eastAsia" w:ascii="楷体" w:hAnsi="楷体" w:eastAsia="楷体" w:cs="楷体"/>
          <w:b/>
          <w:bCs/>
          <w:lang w:val="en-US" w:eastAsia="zh-CN"/>
        </w:rPr>
        <w:t>（一）产出指标完成情况</w:t>
      </w:r>
    </w:p>
    <w:p>
      <w:pPr>
        <w:bidi w:val="0"/>
        <w:rPr>
          <w:rFonts w:hint="default"/>
          <w:b w:val="0"/>
          <w:bCs w:val="0"/>
          <w:color w:val="auto"/>
          <w:lang w:val="en-US" w:eastAsia="zh-CN"/>
        </w:rPr>
      </w:pPr>
      <w:r>
        <w:rPr>
          <w:rFonts w:hint="eastAsia"/>
          <w:b w:val="0"/>
          <w:bCs w:val="0"/>
          <w:color w:val="auto"/>
          <w:lang w:val="en-US" w:eastAsia="zh-CN"/>
        </w:rPr>
        <w:t>包头市60岁（含）以上老年人意外伤害保险均按计划开展并完成，各项工作均符合单位要求，项目整体费用未超预算。</w:t>
      </w:r>
    </w:p>
    <w:p>
      <w:pPr>
        <w:numPr>
          <w:ilvl w:val="0"/>
          <w:numId w:val="0"/>
        </w:numPr>
        <w:ind w:leftChars="0" w:firstLine="602" w:firstLineChars="200"/>
        <w:rPr>
          <w:rFonts w:hint="eastAsia" w:ascii="楷体" w:hAnsi="楷体" w:eastAsia="楷体" w:cs="楷体"/>
          <w:b/>
          <w:bCs/>
          <w:lang w:val="en-US" w:eastAsia="zh-CN"/>
        </w:rPr>
      </w:pPr>
      <w:r>
        <w:rPr>
          <w:rFonts w:hint="eastAsia" w:ascii="楷体" w:hAnsi="楷体" w:eastAsia="楷体" w:cs="楷体"/>
          <w:b/>
          <w:bCs/>
          <w:lang w:val="en-US" w:eastAsia="zh-CN"/>
        </w:rPr>
        <w:t>（二）效益指标完成情况</w:t>
      </w:r>
    </w:p>
    <w:p>
      <w:pPr>
        <w:rPr>
          <w:rFonts w:hint="default" w:ascii="Times New Roman" w:hAnsi="Times New Roman"/>
          <w:color w:val="auto"/>
          <w:lang w:val="en-US" w:eastAsia="zh-CN"/>
        </w:rPr>
      </w:pPr>
      <w:r>
        <w:rPr>
          <w:rFonts w:hint="eastAsia" w:ascii="Times New Roman" w:hAnsi="Times New Roman"/>
          <w:color w:val="auto"/>
          <w:lang w:val="en-US" w:eastAsia="zh-CN"/>
        </w:rPr>
        <w:t>免费为全市60周岁（含）以上户籍人口办理意外伤害保险，实现为全市54.036万老年人应保尽保的目标，帮助老年人解决意外伤害和意外医疗的后顾之忧，提高老年人及其家庭抵抗风险的能力。更好得维护老年人的合法权益，体现党和政府对老年人的关怀，营造养老孝老敬老的社会环境。全市老年人对意外伤害保险工作整体较为满意，满意度达95%。</w:t>
      </w:r>
    </w:p>
    <w:p>
      <w:pPr>
        <w:numPr>
          <w:ilvl w:val="0"/>
          <w:numId w:val="0"/>
        </w:numPr>
        <w:ind w:leftChars="0" w:firstLine="602" w:firstLineChars="200"/>
        <w:rPr>
          <w:rFonts w:hint="eastAsia" w:ascii="楷体" w:hAnsi="楷体" w:eastAsia="楷体" w:cs="楷体"/>
          <w:b/>
          <w:bCs/>
          <w:lang w:val="en-US" w:eastAsia="zh-CN"/>
        </w:rPr>
      </w:pPr>
      <w:r>
        <w:rPr>
          <w:rFonts w:hint="eastAsia" w:ascii="楷体" w:hAnsi="楷体" w:eastAsia="楷体" w:cs="楷体"/>
          <w:b/>
          <w:bCs/>
          <w:lang w:val="en-US" w:eastAsia="zh-CN"/>
        </w:rPr>
        <w:t xml:space="preserve">（三）自评得分情况 </w:t>
      </w:r>
    </w:p>
    <w:p>
      <w:pPr>
        <w:bidi w:val="0"/>
        <w:rPr>
          <w:rFonts w:hint="default"/>
          <w:color w:val="auto"/>
          <w:lang w:val="en-US" w:eastAsia="zh-CN"/>
        </w:rPr>
      </w:pPr>
      <w:r>
        <w:rPr>
          <w:rFonts w:hint="eastAsia"/>
          <w:color w:val="auto"/>
          <w:lang w:val="en-US" w:eastAsia="zh-CN"/>
        </w:rPr>
        <w:t>项目绩效自评得分98分，具体情况如下：</w:t>
      </w:r>
    </w:p>
    <w:p>
      <w:pPr>
        <w:bidi w:val="0"/>
        <w:rPr>
          <w:rFonts w:hint="eastAsia"/>
          <w:color w:val="auto"/>
          <w:lang w:val="en-US" w:eastAsia="zh-CN"/>
        </w:rPr>
      </w:pPr>
      <w:r>
        <w:rPr>
          <w:rFonts w:hint="eastAsia"/>
          <w:color w:val="auto"/>
          <w:lang w:val="en-US" w:eastAsia="zh-CN"/>
        </w:rPr>
        <w:t>预算执行率。分值10分，得分10分。项目预算全部执行。</w:t>
      </w:r>
    </w:p>
    <w:p>
      <w:pPr>
        <w:bidi w:val="0"/>
        <w:rPr>
          <w:rFonts w:hint="eastAsia"/>
          <w:color w:val="auto"/>
          <w:lang w:val="en-US" w:eastAsia="zh-CN"/>
        </w:rPr>
      </w:pPr>
      <w:r>
        <w:rPr>
          <w:rFonts w:hint="eastAsia"/>
          <w:color w:val="auto"/>
          <w:lang w:val="en-US" w:eastAsia="zh-CN"/>
        </w:rPr>
        <w:t>产出指标。分值50分，得分50分。项目各项内容均完成，且均符合要求（根据具体项目来写）。</w:t>
      </w:r>
    </w:p>
    <w:p>
      <w:pPr>
        <w:bidi w:val="0"/>
        <w:rPr>
          <w:rFonts w:hint="default"/>
          <w:color w:val="auto"/>
          <w:lang w:val="en-US" w:eastAsia="zh-CN"/>
        </w:rPr>
      </w:pPr>
      <w:r>
        <w:rPr>
          <w:rFonts w:hint="eastAsia"/>
          <w:color w:val="auto"/>
          <w:lang w:val="en-US" w:eastAsia="zh-CN"/>
        </w:rPr>
        <w:t>效益指标：分值30分，得分28分。项目社会效益较为显著，但仍有提升空间，扣2分。</w:t>
      </w:r>
    </w:p>
    <w:p>
      <w:pPr>
        <w:bidi w:val="0"/>
        <w:rPr>
          <w:rFonts w:hint="eastAsia"/>
          <w:color w:val="auto"/>
          <w:lang w:val="en-US" w:eastAsia="zh-CN"/>
        </w:rPr>
      </w:pPr>
      <w:r>
        <w:rPr>
          <w:rFonts w:hint="eastAsia" w:ascii="Times New Roman" w:hAnsi="Times New Roman"/>
          <w:color w:val="auto"/>
          <w:lang w:val="en-US" w:eastAsia="zh-CN"/>
        </w:rPr>
        <w:t>满意度指标：分值10分，得分10分。全市老年人对意外伤害保险工作整体较为满意。</w:t>
      </w:r>
    </w:p>
    <w:p>
      <w:pPr>
        <w:numPr>
          <w:ilvl w:val="0"/>
          <w:numId w:val="0"/>
        </w:numPr>
        <w:ind w:firstLine="600" w:firstLineChars="200"/>
        <w:rPr>
          <w:rFonts w:hint="eastAsia" w:ascii="黑体" w:hAnsi="黑体" w:eastAsia="黑体" w:cs="黑体"/>
          <w:lang w:val="en-US" w:eastAsia="zh-CN"/>
        </w:rPr>
      </w:pPr>
      <w:r>
        <w:rPr>
          <w:rFonts w:hint="eastAsia" w:ascii="黑体" w:hAnsi="黑体" w:eastAsia="黑体" w:cs="黑体"/>
          <w:lang w:val="en-US" w:eastAsia="zh-CN"/>
        </w:rPr>
        <w:t xml:space="preserve">四、存在问题 </w:t>
      </w:r>
    </w:p>
    <w:p>
      <w:pPr>
        <w:numPr>
          <w:ilvl w:val="0"/>
          <w:numId w:val="0"/>
        </w:numPr>
        <w:ind w:leftChars="0" w:firstLine="602" w:firstLineChars="200"/>
        <w:rPr>
          <w:rFonts w:hint="eastAsia" w:ascii="楷体" w:hAnsi="楷体" w:eastAsia="楷体" w:cs="楷体"/>
          <w:b/>
          <w:bCs/>
          <w:color w:val="0000FF"/>
          <w:lang w:val="en-US" w:eastAsia="zh-CN"/>
        </w:rPr>
      </w:pPr>
      <w:r>
        <w:rPr>
          <w:rFonts w:hint="eastAsia" w:ascii="楷体" w:hAnsi="楷体" w:eastAsia="楷体" w:cs="楷体"/>
          <w:b/>
          <w:bCs/>
          <w:lang w:val="en-US" w:eastAsia="zh-CN"/>
        </w:rPr>
        <w:t>（一）项目立项、实施存在问题</w:t>
      </w:r>
    </w:p>
    <w:p>
      <w:pPr>
        <w:numPr>
          <w:ilvl w:val="0"/>
          <w:numId w:val="0"/>
        </w:numPr>
        <w:ind w:leftChars="0" w:firstLine="600" w:firstLineChars="200"/>
        <w:rPr>
          <w:rFonts w:hint="default"/>
          <w:color w:val="auto"/>
          <w:lang w:val="en-US" w:eastAsia="zh-CN"/>
        </w:rPr>
      </w:pPr>
      <w:r>
        <w:rPr>
          <w:rFonts w:hint="eastAsia"/>
          <w:color w:val="auto"/>
          <w:lang w:val="en-US" w:eastAsia="zh-CN"/>
        </w:rPr>
        <w:t>1、宣传力度不足，存在部分人群尚未知晓包头市60岁（含）以上老年人意外伤害险相关政策。</w:t>
      </w:r>
      <w:bookmarkStart w:id="0" w:name="_GoBack"/>
      <w:bookmarkEnd w:id="0"/>
    </w:p>
    <w:p>
      <w:pPr>
        <w:numPr>
          <w:ilvl w:val="0"/>
          <w:numId w:val="0"/>
        </w:numPr>
        <w:ind w:leftChars="0" w:firstLine="602" w:firstLineChars="200"/>
        <w:rPr>
          <w:rFonts w:hint="eastAsia" w:ascii="楷体" w:hAnsi="楷体" w:eastAsia="楷体" w:cs="楷体"/>
          <w:b/>
          <w:bCs/>
          <w:lang w:val="en-US" w:eastAsia="zh-CN"/>
        </w:rPr>
      </w:pPr>
      <w:r>
        <w:rPr>
          <w:rFonts w:hint="eastAsia" w:ascii="楷体" w:hAnsi="楷体" w:eastAsia="楷体" w:cs="楷体"/>
          <w:b/>
          <w:bCs/>
          <w:lang w:val="en-US" w:eastAsia="zh-CN"/>
        </w:rPr>
        <w:t xml:space="preserve">（二）资金管理使用存在问题 </w:t>
      </w:r>
    </w:p>
    <w:p>
      <w:pPr>
        <w:numPr>
          <w:ilvl w:val="0"/>
          <w:numId w:val="0"/>
        </w:numPr>
        <w:ind w:leftChars="0" w:firstLine="600" w:firstLineChars="200"/>
        <w:rPr>
          <w:rFonts w:hint="default" w:eastAsia="仿宋_GB2312"/>
          <w:color w:val="auto"/>
          <w:lang w:val="en-US" w:eastAsia="zh-CN"/>
        </w:rPr>
      </w:pPr>
      <w:r>
        <w:rPr>
          <w:rFonts w:hint="eastAsia"/>
          <w:color w:val="auto"/>
          <w:lang w:val="en-US" w:eastAsia="zh-CN"/>
        </w:rPr>
        <w:t>不存在问题。</w:t>
      </w:r>
    </w:p>
    <w:p>
      <w:pPr>
        <w:numPr>
          <w:ilvl w:val="0"/>
          <w:numId w:val="0"/>
        </w:numPr>
        <w:ind w:firstLine="600" w:firstLineChars="200"/>
        <w:rPr>
          <w:rFonts w:hint="eastAsia" w:ascii="黑体" w:hAnsi="黑体" w:eastAsia="黑体" w:cs="黑体"/>
          <w:lang w:val="en-US" w:eastAsia="zh-CN"/>
        </w:rPr>
      </w:pPr>
      <w:r>
        <w:rPr>
          <w:rFonts w:hint="eastAsia" w:ascii="黑体" w:hAnsi="黑体" w:eastAsia="黑体" w:cs="黑体"/>
          <w:lang w:val="en-US" w:eastAsia="zh-CN"/>
        </w:rPr>
        <w:t xml:space="preserve">五、其他需要说明的问题 </w:t>
      </w:r>
    </w:p>
    <w:p>
      <w:pPr>
        <w:numPr>
          <w:ilvl w:val="0"/>
          <w:numId w:val="0"/>
        </w:numPr>
        <w:ind w:leftChars="0" w:firstLine="602" w:firstLineChars="200"/>
        <w:rPr>
          <w:rFonts w:hint="eastAsia" w:ascii="楷体" w:hAnsi="楷体" w:eastAsia="楷体" w:cs="楷体"/>
          <w:b/>
          <w:bCs/>
          <w:color w:val="0000FF"/>
          <w:lang w:val="en-US" w:eastAsia="zh-CN"/>
        </w:rPr>
      </w:pPr>
      <w:r>
        <w:rPr>
          <w:rFonts w:hint="eastAsia" w:ascii="楷体" w:hAnsi="楷体" w:eastAsia="楷体" w:cs="楷体"/>
          <w:b/>
          <w:bCs/>
          <w:lang w:val="en-US" w:eastAsia="zh-CN"/>
        </w:rPr>
        <w:t>（一）后续工作计划</w:t>
      </w:r>
    </w:p>
    <w:p>
      <w:pPr>
        <w:bidi w:val="0"/>
        <w:rPr>
          <w:rFonts w:hint="default" w:eastAsia="仿宋_GB2312"/>
          <w:color w:val="auto"/>
          <w:lang w:val="en-US" w:eastAsia="zh-CN"/>
        </w:rPr>
      </w:pPr>
      <w:r>
        <w:rPr>
          <w:rFonts w:hint="eastAsia" w:ascii="Times New Roman" w:hAnsi="Times New Roman"/>
          <w:color w:val="auto"/>
          <w:lang w:val="en-US" w:eastAsia="zh-CN"/>
        </w:rPr>
        <w:t>下一步，积极对</w:t>
      </w:r>
      <w:r>
        <w:rPr>
          <w:rFonts w:hint="eastAsia"/>
          <w:color w:val="auto"/>
          <w:lang w:val="en-US" w:eastAsia="zh-CN"/>
        </w:rPr>
        <w:t>接市公安局户籍科，摸底统计包头市60岁以上老年人数量；按照《包头市60岁（含）以上老年人意外伤害保险实施方案》要求，与保险公司签订协议并及时缴纳保费。</w:t>
      </w:r>
      <w:r>
        <w:rPr>
          <w:rFonts w:hint="eastAsia" w:ascii="Times New Roman" w:hAnsi="Times New Roman"/>
          <w:color w:val="auto"/>
          <w:lang w:val="en-US" w:eastAsia="zh-CN"/>
        </w:rPr>
        <w:t>保证60周岁及以上老年人意外伤害险政策的持续性，实现为全市老年人应保尽保的目标，帮助老年人解决意外伤害和意外医疗的后顾之忧，提高老年人及其家庭抵抗风险的能力。更好得维护老年人的合法权益，体现党和政府对老年人的关怀，营造养老孝老敬老的社会环境。</w:t>
      </w:r>
    </w:p>
    <w:p>
      <w:pPr>
        <w:numPr>
          <w:ilvl w:val="0"/>
          <w:numId w:val="0"/>
        </w:numPr>
        <w:ind w:leftChars="0" w:firstLine="602" w:firstLineChars="200"/>
        <w:rPr>
          <w:rFonts w:hint="eastAsia" w:ascii="楷体" w:hAnsi="楷体" w:eastAsia="楷体" w:cs="楷体"/>
          <w:b/>
          <w:bCs/>
          <w:color w:val="0000FF"/>
          <w:lang w:val="en-US" w:eastAsia="zh-CN"/>
        </w:rPr>
      </w:pPr>
      <w:r>
        <w:rPr>
          <w:rFonts w:hint="eastAsia" w:ascii="楷体" w:hAnsi="楷体" w:eastAsia="楷体" w:cs="楷体"/>
          <w:b/>
          <w:bCs/>
          <w:lang w:val="en-US" w:eastAsia="zh-CN"/>
        </w:rPr>
        <w:t>（二）措施及办法</w:t>
      </w:r>
    </w:p>
    <w:p>
      <w:pPr>
        <w:bidi w:val="0"/>
        <w:rPr>
          <w:rFonts w:hint="default"/>
          <w:color w:val="FF0000"/>
          <w:lang w:val="en-US" w:eastAsia="zh-CN"/>
        </w:rPr>
      </w:pPr>
      <w:r>
        <w:rPr>
          <w:rFonts w:hint="eastAsia" w:ascii="Times New Roman" w:hAnsi="Times New Roman"/>
          <w:color w:val="auto"/>
          <w:lang w:val="en-US" w:eastAsia="zh-CN"/>
        </w:rPr>
        <w:t>1、通</w:t>
      </w:r>
      <w:r>
        <w:rPr>
          <w:rFonts w:hint="eastAsia"/>
          <w:color w:val="auto"/>
          <w:lang w:val="en-US" w:eastAsia="zh-CN"/>
        </w:rPr>
        <w:t>过广播、报纸、公众号、官网、发放宣传册等多方渠道加强宣传，提升包头市60岁（含）以上老年人意外伤害险的群众知晓率，让更多老年人享受到此项惠民政策。</w:t>
      </w:r>
    </w:p>
    <w:p>
      <w:pPr>
        <w:bidi w:val="0"/>
        <w:ind w:left="0" w:leftChars="0" w:firstLine="0" w:firstLineChars="0"/>
        <w:rPr>
          <w:rFonts w:hint="default"/>
          <w:color w:val="FF0000"/>
          <w:lang w:val="en-US" w:eastAsia="zh-CN"/>
        </w:rPr>
      </w:pPr>
    </w:p>
    <w:sectPr>
      <w:footerReference r:id="rId5" w:type="default"/>
      <w:pgSz w:w="11906" w:h="16838"/>
      <w:pgMar w:top="1440" w:right="1587" w:bottom="1440" w:left="1587" w:header="851" w:footer="992" w:gutter="0"/>
      <w:pgNumType w:fmt="decimal" w:start="1"/>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00"/>
      </w:pPr>
      <w:r>
        <w:separator/>
      </w:r>
    </w:p>
  </w:endnote>
  <w:endnote w:type="continuationSeparator" w:id="1">
    <w:p>
      <w:pPr>
        <w:spacing w:line="240" w:lineRule="auto"/>
        <w:ind w:firstLine="60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swiss"/>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altName w:val="方正仿宋_GBK"/>
    <w:panose1 w:val="00000000000000000000"/>
    <w:charset w:val="00"/>
    <w:family w:val="auto"/>
    <w:pitch w:val="default"/>
    <w:sig w:usb0="00000000" w:usb1="00000000" w:usb2="00000000" w:usb3="00000000" w:csb0="00000000" w:csb1="00000000"/>
  </w:font>
  <w:font w:name="楷体">
    <w:altName w:val="方正楷体_GBK"/>
    <w:panose1 w:val="02010609060101010101"/>
    <w:charset w:val="86"/>
    <w:family w:val="modern"/>
    <w:pitch w:val="default"/>
    <w:sig w:usb0="00000000" w:usb1="00000000" w:usb2="00000016" w:usb3="00000000" w:csb0="00040001" w:csb1="00000000"/>
  </w:font>
  <w:font w:name="仿宋">
    <w:altName w:val="方正仿宋_GBK"/>
    <w:panose1 w:val="02010609060101010101"/>
    <w:charset w:val="00"/>
    <w:family w:val="auto"/>
    <w:pitch w:val="default"/>
    <w:sig w:usb0="00000000" w:usb1="00000000" w:usb2="00000016" w:usb3="00000000" w:csb0="00040001" w:csb1="00000000"/>
  </w:font>
  <w:font w:name="方正书宋_GBK">
    <w:panose1 w:val="02000000000000000000"/>
    <w:charset w:val="86"/>
    <w:family w:val="auto"/>
    <w:pitch w:val="default"/>
    <w:sig w:usb0="A00002BF" w:usb1="38CF7CFA" w:usb2="00082016" w:usb3="00000000" w:csb0="00040001" w:csb1="00000000"/>
  </w:font>
  <w:font w:name="方正黑体_GBK">
    <w:panose1 w:val="02000000000000000000"/>
    <w:charset w:val="86"/>
    <w:family w:val="auto"/>
    <w:pitch w:val="default"/>
    <w:sig w:usb0="A00002BF" w:usb1="38CF7CFA" w:usb2="00082016" w:usb3="00000000" w:csb0="00040001" w:csb1="00000000"/>
  </w:font>
  <w:font w:name="DejaVu Sans">
    <w:panose1 w:val="020B0603030804020204"/>
    <w:charset w:val="00"/>
    <w:family w:val="auto"/>
    <w:pitch w:val="default"/>
    <w:sig w:usb0="E7006EFF" w:usb1="D200FDFF" w:usb2="0A246029" w:usb3="0400200C" w:csb0="600001FF" w:csb1="DFFF0000"/>
  </w:font>
  <w:font w:name="方正楷体_GBK">
    <w:panose1 w:val="02000000000000000000"/>
    <w:charset w:val="86"/>
    <w:family w:val="auto"/>
    <w:pitch w:val="default"/>
    <w:sig w:usb0="A00002BF" w:usb1="38CF7CFA" w:usb2="00082016" w:usb3="00000000" w:csb0="00040001" w:csb1="00000000"/>
  </w:font>
  <w:font w:name="方正仿宋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2"/>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00"/>
      </w:pPr>
      <w:r>
        <w:separator/>
      </w:r>
    </w:p>
  </w:footnote>
  <w:footnote w:type="continuationSeparator" w:id="1">
    <w:p>
      <w:pPr>
        <w:spacing w:line="240" w:lineRule="auto"/>
        <w:ind w:firstLine="60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7F2FC7F"/>
    <w:multiLevelType w:val="singleLevel"/>
    <w:tmpl w:val="C7F2FC7F"/>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Q2ODgxZmU0ODM1YTlhMGM5NTZiMzdkNGU5YzMyOTYifQ=="/>
  </w:docVars>
  <w:rsids>
    <w:rsidRoot w:val="00000000"/>
    <w:rsid w:val="029228E6"/>
    <w:rsid w:val="0B077C38"/>
    <w:rsid w:val="0E4E57C6"/>
    <w:rsid w:val="0ECB3930"/>
    <w:rsid w:val="130D4208"/>
    <w:rsid w:val="1A6D095E"/>
    <w:rsid w:val="1CD24F2B"/>
    <w:rsid w:val="1FDB748E"/>
    <w:rsid w:val="25AFCCF1"/>
    <w:rsid w:val="2F2C4A7A"/>
    <w:rsid w:val="2FF33D8B"/>
    <w:rsid w:val="395749E2"/>
    <w:rsid w:val="3B2422F9"/>
    <w:rsid w:val="3CC117AC"/>
    <w:rsid w:val="3D474095"/>
    <w:rsid w:val="3E4D56DB"/>
    <w:rsid w:val="3E4E1C17"/>
    <w:rsid w:val="40605897"/>
    <w:rsid w:val="49C752DD"/>
    <w:rsid w:val="4B4A4AE3"/>
    <w:rsid w:val="4DC14A87"/>
    <w:rsid w:val="4EA6180E"/>
    <w:rsid w:val="506C3F7C"/>
    <w:rsid w:val="50A0169A"/>
    <w:rsid w:val="53935856"/>
    <w:rsid w:val="53A90C1F"/>
    <w:rsid w:val="55222FC6"/>
    <w:rsid w:val="5B7F1DB9"/>
    <w:rsid w:val="5BF74BEC"/>
    <w:rsid w:val="5E657E64"/>
    <w:rsid w:val="624621F6"/>
    <w:rsid w:val="62856942"/>
    <w:rsid w:val="62AB101A"/>
    <w:rsid w:val="63BA7DAC"/>
    <w:rsid w:val="6A646C36"/>
    <w:rsid w:val="6AC26D4C"/>
    <w:rsid w:val="6DBE5660"/>
    <w:rsid w:val="6EC12DE6"/>
    <w:rsid w:val="6FD41AF9"/>
    <w:rsid w:val="70142008"/>
    <w:rsid w:val="70ED2B5B"/>
    <w:rsid w:val="71771FC1"/>
    <w:rsid w:val="75975BB1"/>
    <w:rsid w:val="7BCD4277"/>
    <w:rsid w:val="7FAF9F42"/>
    <w:rsid w:val="BFEF000E"/>
    <w:rsid w:val="D7BEC8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napToGrid w:val="0"/>
      <w:spacing w:line="360" w:lineRule="auto"/>
      <w:ind w:firstLine="602" w:firstLineChars="200"/>
      <w:jc w:val="both"/>
    </w:pPr>
    <w:rPr>
      <w:rFonts w:ascii="Times New Roman" w:hAnsi="Times New Roman" w:eastAsia="仿宋_GB2312" w:cstheme="minorBidi"/>
      <w:kern w:val="2"/>
      <w:sz w:val="30"/>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1977</Words>
  <Characters>2059</Characters>
  <Lines>0</Lines>
  <Paragraphs>0</Paragraphs>
  <TotalTime>2</TotalTime>
  <ScaleCrop>false</ScaleCrop>
  <LinksUpToDate>false</LinksUpToDate>
  <CharactersWithSpaces>2081</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2021-06-29T08:40:00Z</dcterms:created>
  <dc:creator>杨小二</dc:creator>
  <cp:lastModifiedBy>uos</cp:lastModifiedBy>
  <dcterms:modified xsi:type="dcterms:W3CDTF">2022-09-22T16:51:51Z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EE73824DEF64434D842D60A60D6F1BD0</vt:lpwstr>
  </property>
</Properties>
</file>