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C8AD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eastAsia="zh-CN"/>
        </w:rPr>
      </w:pPr>
    </w:p>
    <w:p w14:paraId="578741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eastAsia="zh-CN"/>
        </w:rPr>
      </w:pPr>
    </w:p>
    <w:p w14:paraId="2A8156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eastAsia="zh-CN"/>
        </w:rPr>
      </w:pPr>
    </w:p>
    <w:p w14:paraId="56B97F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eastAsia="zh-CN"/>
        </w:rPr>
      </w:pPr>
    </w:p>
    <w:p w14:paraId="1182AD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包头市民政局</w:t>
      </w:r>
    </w:p>
    <w:p w14:paraId="098E97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2025年度自治区福彩公益金使用情况公告</w:t>
      </w:r>
    </w:p>
    <w:p w14:paraId="712B71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D004F4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根据《彩票管理条例》《彩票公益金管理办法》《民政部彩票公益金使用管理信息公开办法》等相关规定，现将2025年度自治区福彩公益金使用情况公告如下。</w:t>
      </w:r>
    </w:p>
    <w:p w14:paraId="5882532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一、总体情况</w:t>
      </w:r>
    </w:p>
    <w:p w14:paraId="2175662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2025年自治区彩票公益金支持我市社会福利事业专项资金</w:t>
      </w:r>
      <w:r>
        <w:rPr>
          <w:rFonts w:hint="eastAsia" w:ascii="仿宋_GB2312" w:hAnsi="仿宋_GB2312" w:eastAsia="仿宋_GB2312" w:cs="仿宋_GB2312"/>
          <w:b w:val="0"/>
          <w:bCs w:val="0"/>
          <w:color w:val="auto"/>
          <w:sz w:val="32"/>
          <w:szCs w:val="32"/>
          <w:lang w:val="en-US" w:eastAsia="zh-CN"/>
        </w:rPr>
        <w:t>2737.39</w:t>
      </w:r>
      <w:r>
        <w:rPr>
          <w:rFonts w:hint="eastAsia" w:ascii="仿宋_GB2312" w:hAnsi="仿宋_GB2312" w:eastAsia="仿宋_GB2312" w:cs="仿宋_GB2312"/>
          <w:b w:val="0"/>
          <w:bCs w:val="0"/>
          <w:sz w:val="32"/>
          <w:szCs w:val="32"/>
          <w:lang w:val="en-US" w:eastAsia="zh-CN"/>
        </w:rPr>
        <w:t>万元。市民政局严格遵循福利彩票“扶老、助残、救孤、济困”的宗旨，</w:t>
      </w:r>
      <w:r>
        <w:rPr>
          <w:rFonts w:hint="eastAsia" w:ascii="仿宋_GB2312" w:hAnsi="仿宋_GB2312" w:eastAsia="仿宋_GB2312" w:cs="仿宋_GB2312"/>
          <w:b w:val="0"/>
          <w:bCs w:val="0"/>
          <w:sz w:val="32"/>
          <w:szCs w:val="32"/>
          <w:highlight w:val="none"/>
          <w:lang w:val="en-US" w:eastAsia="zh-CN"/>
        </w:rPr>
        <w:t>重点支持老年人福利类各项目、购买老年人意外伤害险等社会养老服务体系建设项目，优先支持社会福利设施建设以及孤儿、特殊困难群体直接受益的项目，适当支持符合规定的其他社会公益服务、社会工作和志愿服务项目。</w:t>
      </w:r>
    </w:p>
    <w:p w14:paraId="3297C90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二、自治区彩票公益金使用情况</w:t>
      </w:r>
    </w:p>
    <w:p w14:paraId="3A2A0E5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（一）老年人福利类项目1755.39万元</w:t>
      </w:r>
    </w:p>
    <w:p w14:paraId="06E5AB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华文仿宋" w:eastAsia="仿宋_GB2312" w:cs="华文仿宋"/>
          <w:sz w:val="32"/>
          <w:szCs w:val="32"/>
          <w:lang w:val="en-US" w:eastAsia="zh-CN"/>
        </w:rPr>
        <w:t>老年人意外伤害保险补助资金</w:t>
      </w:r>
      <w:r>
        <w:rPr>
          <w:rFonts w:hint="eastAsia" w:ascii="仿宋_GB2312" w:hAnsi="仿宋_GB2312" w:cs="仿宋_GB2312"/>
          <w:sz w:val="32"/>
          <w:szCs w:val="32"/>
          <w:lang w:val="en-US" w:eastAsia="zh-CN"/>
        </w:rPr>
        <w:t>212.58</w:t>
      </w:r>
      <w:r>
        <w:rPr>
          <w:rFonts w:hint="eastAsia" w:ascii="仿宋_GB2312" w:hAnsi="华文仿宋" w:eastAsia="仿宋_GB2312" w:cs="华文仿宋"/>
          <w:sz w:val="32"/>
          <w:szCs w:val="32"/>
          <w:lang w:val="en-US" w:eastAsia="zh-CN"/>
        </w:rPr>
        <w:t>万元，由市民政局统筹相关资金，为全市60周岁以上老年人购买意外伤害保险。</w:t>
      </w:r>
    </w:p>
    <w:p w14:paraId="2BDFCA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2.支持老年人福利类项目补助资金1325万元，拨付市本级及各旗县区用于构建布局合理、功能完善、运转高效，可持续的三级养老服务网络；巩固发展老年人身边床边的居家养老服务，扩大社区养老服务有效供给，优化机构养老专业支撑作用；加强特殊困难老年人探访关爱服务；做好老年人能力评估；完善基本养老服务体系建设。</w:t>
      </w:r>
    </w:p>
    <w:p w14:paraId="7CCD35A3">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3.一次性建设补贴资金130.5万元，责任保险补贴资金31.37万元，2025年自治区根据我市养老机构申报情况共下拨一次性建设补贴，机构责任保险补贴等167.81万元。按照自治区补贴标准，拨付各旗县区，由旗县区拨付各社会办养老机构。</w:t>
      </w:r>
    </w:p>
    <w:p w14:paraId="43CC89D1">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4.县级养老机构消防安全管理中心试点资金20万元，拨付昆区按照《县级养老机构消防安全管理中心试点建设方案》完善设备和功能，提高养老机构监管效能和处置突发事件能力。</w:t>
      </w:r>
    </w:p>
    <w:p w14:paraId="1C36B586">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5.资助“乐龄工程”补助资金30万元，拨付白云矿区、土右旗、达茂旗、固阳县、高新区用于完善养老服务配套，切实改善老年人日常照料与文体活动条件，提升辖区老年群体获得感与幸福感。</w:t>
      </w:r>
    </w:p>
    <w:p w14:paraId="27D9984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（二）儿童福利类项目431万元</w:t>
      </w:r>
    </w:p>
    <w:p w14:paraId="1C92F34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1.儿童福利机构建设项目资金77万元，拨付市福利院用于支持儿童福利机构设施设备更新，不断提高机构服务水平。</w:t>
      </w:r>
    </w:p>
    <w:p w14:paraId="13E8DC6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2.未成年人保护机构设施建设和能力提升项目资金268万元，拨付昆区、青山区、东河区、固阳县用于支持自治区困境儿童关爱保护试点地区和自治区示范型儿童之家建设项目，提高服务水平。</w:t>
      </w:r>
    </w:p>
    <w:p w14:paraId="00A17E2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3.支持盟市向社会组织购买儿童福利类服务项目资金70万元，拨付市本级及昆区用于向社会组织购买儿童服务项目，不断提升服务困境儿童能力。</w:t>
      </w:r>
    </w:p>
    <w:p w14:paraId="01F2DAE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4.“明天计划”项目资金16万元，拨付市本级用于统筹为全市符合条件的孤儿和事实无人抚养儿童实施“明天计划”项目，提供手术、体检、住院服务费等医疗救治保障。</w:t>
      </w:r>
    </w:p>
    <w:p w14:paraId="74E8993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5.“养治康教”项目18万元，拨付市福利院用于支持市儿童福利院“养治教康安社”工作，保障儿童福利机构内集中养育孤儿成年后合法权益，促进其融入社会，自立自强，推动儿童福利事业高质量发展。</w:t>
      </w:r>
    </w:p>
    <w:p w14:paraId="0981D5A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（四）社会公益类项目551万元</w:t>
      </w:r>
    </w:p>
    <w:p w14:paraId="33127AF7">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1.支持民政领域社会工作服务项目资金资金160万元，拨付昆区、青山区、九原区用于社工站建设运营与民政领域社会工作服务项目的推进，通过规范化建设、示范性项目打造以及常态化基层服务，完善社会服务网络，补齐民生短板，发挥福彩公益金的扶弱济困效能。</w:t>
      </w:r>
    </w:p>
    <w:p w14:paraId="4B9DE879">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2.殡仪馆建设、殡葬服务、城乡公益性公墓项目资金227万元，拨付市殡仪馆及固阳县用于支持殡仪馆建设及遗体冷藏、消毒等设备采购，相关设施已建成并投入运营。</w:t>
      </w:r>
    </w:p>
    <w:p w14:paraId="6BE45F7C">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3.婚姻登记机关标准化建设及购买服务项目资金108万元，拨付昆区及高新区用于支持婚姻登记机关开展智能化、标准化建设及全方位升级改造，强化婚姻家庭辅导，提升服务功能与服务质量。</w:t>
      </w:r>
    </w:p>
    <w:p w14:paraId="545FE60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t>4.支持购买社会组织培育孵化服务项目资金56万元，市本级用于市级、九原区、青山区社会组织孵化基地日常运营与孵化培育、搭建运维包头市社会组织规范化建设小程序，同步完成20家社会组织财务审计及40家社会组织等级评估工作。</w:t>
      </w:r>
    </w:p>
    <w:p w14:paraId="608C428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p>
    <w:p w14:paraId="79EF160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特此公告。</w:t>
      </w:r>
    </w:p>
    <w:p w14:paraId="70A896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14:paraId="3C3CE49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419" w:firstLineChars="131"/>
        <w:jc w:val="both"/>
        <w:textAlignment w:val="auto"/>
        <w:rPr>
          <w:rFonts w:hint="eastAsia" w:ascii="仿宋_GB2312" w:hAnsi="仿宋_GB2312" w:eastAsia="仿宋_GB2312" w:cs="仿宋_GB2312"/>
          <w:b w:val="0"/>
          <w:bCs w:val="0"/>
          <w:sz w:val="32"/>
          <w:szCs w:val="32"/>
          <w:lang w:val="en-US" w:eastAsia="zh-CN"/>
        </w:rPr>
      </w:pPr>
      <w:r>
        <w:rPr>
          <w:rFonts w:hint="eastAsia" w:ascii="华文仿宋" w:hAnsi="华文仿宋" w:eastAsia="华文仿宋" w:cs="华文仿宋"/>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包头市民政局</w:t>
      </w:r>
    </w:p>
    <w:p w14:paraId="3F812F4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419" w:firstLineChars="131"/>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bookmarkStart w:id="0" w:name="_GoBack"/>
      <w:bookmarkEnd w:id="0"/>
      <w:r>
        <w:rPr>
          <w:rFonts w:hint="eastAsia" w:ascii="仿宋_GB2312" w:hAnsi="仿宋_GB2312" w:eastAsia="仿宋_GB2312" w:cs="仿宋_GB2312"/>
          <w:b w:val="0"/>
          <w:bCs w:val="0"/>
          <w:sz w:val="32"/>
          <w:szCs w:val="32"/>
          <w:lang w:val="en-US" w:eastAsia="zh-CN"/>
        </w:rPr>
        <w:t xml:space="preserve">    2026年6月1日</w:t>
      </w:r>
    </w:p>
    <w:p w14:paraId="7D8BD5A0">
      <w:pPr>
        <w:keepNext w:val="0"/>
        <w:keepLines w:val="0"/>
        <w:pageBreakBefore w:val="0"/>
        <w:kinsoku/>
        <w:wordWrap/>
        <w:overflowPunct/>
        <w:topLinePunct w:val="0"/>
        <w:autoSpaceDE/>
        <w:autoSpaceDN/>
        <w:bidi w:val="0"/>
        <w:adjustRightInd/>
        <w:snapToGrid/>
        <w:spacing w:line="560" w:lineRule="exact"/>
        <w:jc w:val="both"/>
        <w:textAlignment w:val="auto"/>
      </w:pPr>
    </w:p>
    <w:p w14:paraId="5B4A0EC7">
      <w:pPr>
        <w:keepNext w:val="0"/>
        <w:keepLines w:val="0"/>
        <w:pageBreakBefore w:val="0"/>
        <w:kinsoku/>
        <w:wordWrap/>
        <w:overflowPunct/>
        <w:topLinePunct w:val="0"/>
        <w:autoSpaceDE/>
        <w:autoSpaceDN/>
        <w:bidi w:val="0"/>
        <w:adjustRightInd/>
        <w:snapToGrid/>
        <w:spacing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MjJkYjc2YmU4YTc3NjBlZjlkNDAyMjY3YzQ0MjYifQ=="/>
  </w:docVars>
  <w:rsids>
    <w:rsidRoot w:val="758C3FE4"/>
    <w:rsid w:val="00C85F20"/>
    <w:rsid w:val="07027530"/>
    <w:rsid w:val="07714B31"/>
    <w:rsid w:val="0B3C66F9"/>
    <w:rsid w:val="0FB50771"/>
    <w:rsid w:val="101C7C72"/>
    <w:rsid w:val="112A1F9A"/>
    <w:rsid w:val="132F180F"/>
    <w:rsid w:val="173F6F19"/>
    <w:rsid w:val="25637950"/>
    <w:rsid w:val="264B448A"/>
    <w:rsid w:val="28EE4C03"/>
    <w:rsid w:val="383529C2"/>
    <w:rsid w:val="384C5C9E"/>
    <w:rsid w:val="3AD27471"/>
    <w:rsid w:val="3B733417"/>
    <w:rsid w:val="427E6A67"/>
    <w:rsid w:val="43732C51"/>
    <w:rsid w:val="4C292AD8"/>
    <w:rsid w:val="4F780233"/>
    <w:rsid w:val="53AA1EFE"/>
    <w:rsid w:val="5E497F4C"/>
    <w:rsid w:val="5E8A16E8"/>
    <w:rsid w:val="66684FBD"/>
    <w:rsid w:val="681C54DE"/>
    <w:rsid w:val="68696EDC"/>
    <w:rsid w:val="6A1234A0"/>
    <w:rsid w:val="6D9A58A0"/>
    <w:rsid w:val="6E191864"/>
    <w:rsid w:val="7022508C"/>
    <w:rsid w:val="71A943AD"/>
    <w:rsid w:val="731453D3"/>
    <w:rsid w:val="758C3FE4"/>
    <w:rsid w:val="768B237E"/>
    <w:rsid w:val="7ADB5B62"/>
    <w:rsid w:val="7BE554C0"/>
    <w:rsid w:val="7D2D10EA"/>
    <w:rsid w:val="7DF7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ind w:firstLine="640" w:firstLineChars="200"/>
    </w:pPr>
    <w:rPr>
      <w:rFonts w:ascii="仿宋" w:hAnsi="仿宋" w:eastAsia="仿宋"/>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1444</Words>
  <Characters>1526</Characters>
  <Lines>0</Lines>
  <Paragraphs>0</Paragraphs>
  <TotalTime>0</TotalTime>
  <ScaleCrop>false</ScaleCrop>
  <LinksUpToDate>false</LinksUpToDate>
  <CharactersWithSpaces>1581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2022-03-16T07:03:00Z</dcterms:created>
  <dc:creator>Бундын 9</dc:creator>
  <cp:lastModifiedBy>陈晓宇</cp:lastModifiedBy>
  <cp:lastPrinted>2024-03-26T07:38:00Z</cp:lastPrinted>
  <dcterms:modified xsi:type="dcterms:W3CDTF">2026-06-04T03:31:15Z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3B0E2367106C482A8D24ACE30B311E2C_13</vt:lpwstr>
  </property>
  <property fmtid="{D5CDD505-2E9C-101B-9397-08002B2CF9AE}" pid="4" name="KSOTemplateDocerSaveRecord">
    <vt:lpwstr>eyJoZGlkIjoiN2E0NDY4N2ZlNDc5NTg5NjYzOWZlN2QxY2QzYmVhMWQiLCJ1c2VySWQiOiIxMTc4NzM5Nzg0In0=</vt:lpwstr>
  </property>
</Properties>
</file>