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社会组织意识形态工作和诚信自律承诺书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落实社会组织党组织书记及其主要负责人意识形态工作责任，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加强社会组织意识形态阵地建设和推进诚信建设，强化社会组织自律意识，提升社会组织公信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</w:rPr>
        <w:t>和综合发展服务能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在此，我单位作出如下承诺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一、始终坚持正确导向，加强对会员的教育引导。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牢牢把握正确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舆论</w:t>
      </w:r>
      <w:r>
        <w:rPr>
          <w:rFonts w:hint="eastAsia" w:ascii="仿宋_GB2312" w:hAnsi="仿宋_GB2312" w:eastAsia="仿宋_GB2312" w:cs="仿宋_GB2312"/>
          <w:sz w:val="32"/>
          <w:szCs w:val="32"/>
        </w:rPr>
        <w:t>导向，组织会员、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业人员坚持学习宣传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新时代中国特色社会主义思想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党的二十大精神，深化习近平总书记对内蒙古重要指示批示精神和对包头“一个创新、三个实现”重要指示的认识,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学习党史、新中国史、改革开放史、社会主义发展史，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坚持中国共产党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全面领导，在思想上、政治上、行动上始终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习近平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同志为核心的党中央保持高度一致。坚决做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“两个维护”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坚持听党话、跟党走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在任何场合都不发表违背党的基本路线、党的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方针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党的决定决议、破坏民族团结等言论，不发表有政治问题的文章、演说、宣言、声明等。教育引导会员遵守国家法律法规和社会道德风尚，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践行社会主义核心价值观，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业、诚信服务、褒扬诚信、惩戒失信，有序参与社会治理、提供公共服务、承担社会责任，做社会组织信用体系建设坚定的执行者和捍卫者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加强各类意识形态阵地的建设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加强会员和会员单位的管理和引导，将意识形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工作贯穿到行业践行社会主义核心价值观全过程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加强对以下意识形态阵地的管理：1、本单位及会员设立使用的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微信群、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等各类新闻媒体、网络宣传平台；2、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公开或内部发行的报刊、杂志、简报及论文集、汇编等刊物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以及文艺作品等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3、举办的形势报告会和社会科学报告会、研讨会、讲座、论坛等；4、主办的演艺场所、图书馆、文化馆、纪念馆、博物馆、美术馆、陈列馆、展览馆等；5、</w:t>
      </w:r>
      <w:r>
        <w:rPr>
          <w:rFonts w:hint="eastAsia" w:ascii="仿宋_GB2312" w:hAnsi="仿宋_GB2312" w:eastAsia="仿宋_GB2312" w:cs="仿宋_GB2312"/>
          <w:sz w:val="32"/>
          <w:szCs w:val="32"/>
        </w:rPr>
        <w:t>户外公共场所、室内办公场所的标语牌、显示屏、展板、广告等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6、其他社会组织意识形态阵地。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三、遵守意识形态工作报告制度。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组织党支部书记或社会组织主要负责人为第一责任人，对向上级党组织或业务主管单位汇报意识形态工作负总责。定期分析研判意识形态领域情况，对重大事件、重要情况、重要社情民意中的倾向性苗头性问题，有针对性地进行教育引导，做到有预案、有部署，随时向上级党组织或业务主管单位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四、落实重大活动申报审批制度。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举办面向社会的</w:t>
      </w:r>
      <w:r>
        <w:rPr>
          <w:rFonts w:hint="eastAsia" w:ascii="仿宋_GB2312" w:hAnsi="仿宋_GB2312" w:eastAsia="仿宋_GB2312" w:cs="仿宋_GB2312"/>
          <w:sz w:val="32"/>
          <w:szCs w:val="32"/>
        </w:rPr>
        <w:t>评比达标表彰活动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节庆、庆典活动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论坛、研讨会、讲座、学术交流活动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展会活动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涉外活动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包括与境外组织合作或联合举办的活动，组团出国（境）、与境外组织交流活动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其他可能产生重大社会影响的活动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，必须按照章程规定履行内部工作程序，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1个月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业务主管单位和登记管理机关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、进一步规范内部治理。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依照法规政策和章程建立健全法人治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</w:rPr>
        <w:t>结构和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</w:t>
      </w:r>
      <w:r>
        <w:rPr>
          <w:rFonts w:hint="eastAsia" w:ascii="仿宋_GB2312" w:hAnsi="仿宋_GB2312" w:eastAsia="仿宋_GB2312" w:cs="仿宋_GB2312"/>
          <w:sz w:val="32"/>
          <w:szCs w:val="32"/>
        </w:rPr>
        <w:t>行机制以及党组织参与社会组织重大问题决策等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</w:t>
      </w:r>
      <w:r>
        <w:rPr>
          <w:rFonts w:hint="eastAsia" w:ascii="仿宋_GB2312" w:hAnsi="仿宋_GB2312" w:eastAsia="仿宋_GB2312" w:cs="仿宋_GB2312"/>
          <w:sz w:val="32"/>
          <w:szCs w:val="32"/>
        </w:rPr>
        <w:t>度安排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进一步完善内部治理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。充分发挥会员(代表)大会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事会、监事会的作用，落实民主选举、民主决策和民主管理，健全内部监督机制，成为责权明确、运转协调的法人主体。建立健全财务管理、监督制度，执行《民间非营利组织会计制度》，保证会计资料合法、真实、准确、完整，经费来</w:t>
      </w:r>
      <w:r>
        <w:rPr>
          <w:rFonts w:hint="eastAsia" w:ascii="仿宋_GB2312" w:hAnsi="仿宋_GB2312" w:eastAsia="仿宋_GB2312" w:cs="仿宋_GB2312"/>
          <w:sz w:val="32"/>
          <w:szCs w:val="32"/>
        </w:rPr>
        <w:t>源和资金使用符合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sz w:val="32"/>
          <w:szCs w:val="32"/>
        </w:rPr>
        <w:t>定，依法纳税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建立信息公开管理制度，依法依规公开登记证书、章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</w:rPr>
        <w:t>、业务范围、机构设置、负责人及理事会成员名单信息。重大活动情况、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</w:rPr>
        <w:t>务收支情况、接受捐赠和资助情况、年度工作报告等信息主动向会员公开，增加社会透明度和公信力，自觉接受政府、社会公众、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新闻舆论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的监督，积极履行社会责任。结合自身能力，为会员、行业、社会提供形式多样、内容丰富的服务活动。不强制入会，不乱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摊派</w:t>
      </w:r>
      <w:r>
        <w:rPr>
          <w:rFonts w:hint="eastAsia" w:ascii="仿宋_GB2312" w:hAnsi="仿宋_GB2312" w:eastAsia="仿宋_GB2312" w:cs="仿宋_GB2312"/>
          <w:sz w:val="32"/>
          <w:szCs w:val="32"/>
        </w:rPr>
        <w:t>、乱收费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严禁非法集资，不搞乱评比、乱培训、乱表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彰；积极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为会员提供服务，维护会员合法权益;按章程规定开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、自觉接受监督检查。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每年按照规定时间按时报送材料，接受业务主管单位及登记管理机关的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。依法办理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</w:t>
      </w:r>
      <w:r>
        <w:rPr>
          <w:rFonts w:hint="eastAsia" w:ascii="仿宋_GB2312" w:hAnsi="仿宋_GB2312" w:eastAsia="仿宋_GB2312" w:cs="仿宋_GB2312"/>
          <w:sz w:val="32"/>
          <w:szCs w:val="32"/>
        </w:rPr>
        <w:t>更登记，提供的资料均合法、真实、准确、有效。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党组织书记（签字）：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备注：未建立党组织的社会组织只需法人代表签字。</w:t>
      </w:r>
    </w:p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YjE5ZWVkYzI1ZTE5ZGJlMzY2MDFlNjhjMmY5YzYifQ=="/>
    <w:docVar w:name="KSO_WPS_MARK_KEY" w:val="fe28784c-8fcb-4f48-b4d4-582fcdda8725"/>
  </w:docVars>
  <w:rsids>
    <w:rsidRoot w:val="4F852035"/>
    <w:rsid w:val="00B2499D"/>
    <w:rsid w:val="00D44D0F"/>
    <w:rsid w:val="0B043F53"/>
    <w:rsid w:val="14566084"/>
    <w:rsid w:val="14E27EE3"/>
    <w:rsid w:val="1D706161"/>
    <w:rsid w:val="287C1F01"/>
    <w:rsid w:val="4E17BFF3"/>
    <w:rsid w:val="4F852035"/>
    <w:rsid w:val="52D81EB5"/>
    <w:rsid w:val="673E402F"/>
    <w:rsid w:val="68C24F22"/>
    <w:rsid w:val="694928F4"/>
    <w:rsid w:val="79FFAEB3"/>
    <w:rsid w:val="CFFEF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1"/>
    <w:basedOn w:val="1"/>
    <w:qFormat/>
    <w:uiPriority w:val="0"/>
    <w:pPr>
      <w:shd w:val="clear" w:color="auto" w:fill="FFFFFF"/>
      <w:spacing w:line="422" w:lineRule="auto"/>
      <w:ind w:firstLine="400"/>
    </w:pPr>
    <w:rPr>
      <w:rFonts w:ascii="MingLiU" w:hAnsi="宋体" w:eastAsia="MingLiU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2021-03-05T02:16:00Z</dcterms:created>
  <dc:creator>脚鸭子撞线</dc:creator>
  <cp:lastModifiedBy>uos</cp:lastModifiedBy>
  <cp:lastPrinted>2024-02-29T09:37:00Z</cp:lastPrinted>
  <dcterms:modified xsi:type="dcterms:W3CDTF">2025-02-28T17:11:30Z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47F296FDAF1D40F180CCF36B0644804F</vt:lpwstr>
  </property>
</Properties>
</file>