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26F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方正小标宋简体" w:hAnsi="Calibri" w:eastAsia="方正小标宋简体" w:cs="Calibri"/>
          <w:color w:val="000000" w:themeColor="text1"/>
          <w:kern w:val="0"/>
          <w:sz w:val="44"/>
          <w:szCs w:val="44"/>
          <w14:textFill>
            <w14:solidFill>
              <w14:schemeClr w14:val="tx1"/>
            </w14:solidFill>
          </w14:textFill>
        </w:rPr>
      </w:pPr>
      <w:r>
        <w:rPr>
          <w:rFonts w:hint="eastAsia" w:ascii="方正小标宋简体" w:hAnsi="Calibri" w:eastAsia="方正小标宋简体" w:cs="Calibri"/>
          <w:color w:val="000000" w:themeColor="text1"/>
          <w:kern w:val="0"/>
          <w:sz w:val="44"/>
          <w:szCs w:val="44"/>
          <w14:textFill>
            <w14:solidFill>
              <w14:schemeClr w14:val="tx1"/>
            </w14:solidFill>
          </w14:textFill>
        </w:rPr>
        <w:t>包头市最低生活保障审核确认办法</w:t>
      </w:r>
    </w:p>
    <w:p w14:paraId="2A0E136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方正小标宋简体" w:hAnsi="Calibri" w:eastAsia="方正小标宋简体" w:cs="Calibri"/>
          <w:color w:val="000000" w:themeColor="text1"/>
          <w:kern w:val="0"/>
          <w:sz w:val="44"/>
          <w:szCs w:val="44"/>
          <w:lang w:eastAsia="zh-CN"/>
          <w14:textFill>
            <w14:solidFill>
              <w14:schemeClr w14:val="tx1"/>
            </w14:solidFill>
          </w14:textFill>
        </w:rPr>
      </w:pPr>
      <w:r>
        <w:rPr>
          <w:rFonts w:hint="eastAsia" w:ascii="方正小标宋简体" w:hAnsi="Calibri" w:eastAsia="方正小标宋简体" w:cs="Calibri"/>
          <w:color w:val="000000" w:themeColor="text1"/>
          <w:kern w:val="0"/>
          <w:sz w:val="44"/>
          <w:szCs w:val="44"/>
          <w:lang w:eastAsia="zh-CN"/>
          <w14:textFill>
            <w14:solidFill>
              <w14:schemeClr w14:val="tx1"/>
            </w14:solidFill>
          </w14:textFill>
        </w:rPr>
        <w:t>（</w:t>
      </w:r>
      <w:r>
        <w:rPr>
          <w:rFonts w:hint="eastAsia" w:ascii="方正小标宋简体" w:hAnsi="Calibri" w:eastAsia="方正小标宋简体" w:cs="Calibri"/>
          <w:color w:val="000000" w:themeColor="text1"/>
          <w:kern w:val="0"/>
          <w:sz w:val="44"/>
          <w:szCs w:val="44"/>
          <w:lang w:val="en-US" w:eastAsia="zh-CN"/>
          <w14:textFill>
            <w14:solidFill>
              <w14:schemeClr w14:val="tx1"/>
            </w14:solidFill>
          </w14:textFill>
        </w:rPr>
        <w:t>征求意见稿</w:t>
      </w:r>
      <w:r>
        <w:rPr>
          <w:rFonts w:hint="eastAsia" w:ascii="方正小标宋简体" w:hAnsi="Calibri" w:eastAsia="方正小标宋简体" w:cs="Calibri"/>
          <w:color w:val="000000" w:themeColor="text1"/>
          <w:kern w:val="0"/>
          <w:sz w:val="44"/>
          <w:szCs w:val="44"/>
          <w:lang w:eastAsia="zh-CN"/>
          <w14:textFill>
            <w14:solidFill>
              <w14:schemeClr w14:val="tx1"/>
            </w14:solidFill>
          </w14:textFill>
        </w:rPr>
        <w:t>）</w:t>
      </w:r>
    </w:p>
    <w:p w14:paraId="0DC49A1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Calibri"/>
          <w:color w:val="000000" w:themeColor="text1"/>
          <w:kern w:val="0"/>
          <w:sz w:val="32"/>
          <w:szCs w:val="32"/>
          <w14:textFill>
            <w14:solidFill>
              <w14:schemeClr w14:val="tx1"/>
            </w14:solidFill>
          </w14:textFill>
        </w:rPr>
      </w:pPr>
    </w:p>
    <w:p w14:paraId="33DC309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第一章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总</w:t>
      </w:r>
      <w:r>
        <w:rPr>
          <w:rFonts w:hint="eastAsia" w:ascii="黑体" w:hAnsi="黑体" w:eastAsia="黑体" w:cs="Calibri"/>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Calibri"/>
          <w:color w:val="000000" w:themeColor="text1"/>
          <w:kern w:val="0"/>
          <w:sz w:val="32"/>
          <w:szCs w:val="32"/>
          <w14:textFill>
            <w14:solidFill>
              <w14:schemeClr w14:val="tx1"/>
            </w14:solidFill>
          </w14:textFill>
        </w:rPr>
        <w:t>则</w:t>
      </w:r>
    </w:p>
    <w:p w14:paraId="3F29CD1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1443684">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为规范最低生活保</w:t>
      </w:r>
      <w:bookmarkStart w:id="14" w:name="_GoBack"/>
      <w:bookmarkEnd w:id="14"/>
      <w:r>
        <w:rPr>
          <w:rFonts w:hint="eastAsia" w:ascii="仿宋_GB2312" w:hAnsi="仿宋_GB2312" w:eastAsia="仿宋_GB2312" w:cs="仿宋_GB2312"/>
          <w:color w:val="000000" w:themeColor="text1"/>
          <w:sz w:val="32"/>
          <w:szCs w:val="32"/>
          <w14:textFill>
            <w14:solidFill>
              <w14:schemeClr w14:val="tx1"/>
            </w14:solidFill>
          </w14:textFill>
        </w:rPr>
        <w:t>障（以下简称“低保”）审核确认工作，根据《社会救助暂行办法》（国务院第649号令）、《中共中央办公厅 国务院办公厅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印发&lt;</w:t>
      </w:r>
      <w:r>
        <w:rPr>
          <w:rFonts w:hint="eastAsia" w:ascii="仿宋_GB2312" w:hAnsi="仿宋_GB2312" w:eastAsia="仿宋_GB2312" w:cs="仿宋_GB2312"/>
          <w:color w:val="000000" w:themeColor="text1"/>
          <w:sz w:val="32"/>
          <w:szCs w:val="32"/>
          <w14:textFill>
            <w14:solidFill>
              <w14:schemeClr w14:val="tx1"/>
            </w14:solidFill>
          </w14:textFill>
        </w:rPr>
        <w:t>关于改革完善社会救助制度的意见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&gt;的通知</w:t>
      </w:r>
      <w:r>
        <w:rPr>
          <w:rFonts w:hint="eastAsia" w:ascii="仿宋_GB2312" w:hAnsi="仿宋_GB2312" w:eastAsia="仿宋_GB2312" w:cs="仿宋_GB2312"/>
          <w:color w:val="000000" w:themeColor="text1"/>
          <w:sz w:val="32"/>
          <w:szCs w:val="32"/>
          <w14:textFill>
            <w14:solidFill>
              <w14:schemeClr w14:val="tx1"/>
            </w14:solidFill>
          </w14:textFill>
        </w:rPr>
        <w:t>》（中办发〔2020〕18号）、《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民政部关于印发&lt;</w:t>
      </w:r>
      <w:r>
        <w:rPr>
          <w:rFonts w:hint="eastAsia" w:ascii="仿宋_GB2312" w:hAnsi="仿宋_GB2312" w:eastAsia="仿宋_GB2312" w:cs="仿宋_GB2312"/>
          <w:color w:val="000000" w:themeColor="text1"/>
          <w:sz w:val="32"/>
          <w:szCs w:val="32"/>
          <w14:textFill>
            <w14:solidFill>
              <w14:schemeClr w14:val="tx1"/>
            </w14:solidFill>
          </w14:textFill>
        </w:rPr>
        <w:t>最低生活保障审核确认办法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&gt;</w:t>
      </w:r>
      <w:r>
        <w:rPr>
          <w:rFonts w:hint="eastAsia" w:ascii="仿宋_GB2312" w:hAnsi="仿宋_GB2312" w:eastAsia="仿宋_GB2312" w:cs="仿宋_GB2312"/>
          <w:color w:val="000000" w:themeColor="text1"/>
          <w:sz w:val="32"/>
          <w:szCs w:val="32"/>
          <w14:textFill>
            <w14:solidFill>
              <w14:schemeClr w14:val="tx1"/>
            </w14:solidFill>
          </w14:textFill>
        </w:rPr>
        <w:t>的通知》（民发〔2021〕57号）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民政部 中央农村工作领导小组办公室 财政部 国家乡村振兴局关于进一步做好最低生活保障等社会救助兜底保障工作的通知》</w:t>
      </w:r>
      <w:r>
        <w:rPr>
          <w:rFonts w:hint="eastAsia" w:ascii="仿宋_GB2312" w:hAnsi="仿宋_GB2312" w:eastAsia="仿宋_GB2312" w:cs="仿宋_GB2312"/>
          <w:color w:val="000000" w:themeColor="text1"/>
          <w:sz w:val="32"/>
          <w:szCs w:val="32"/>
          <w14:textFill>
            <w14:solidFill>
              <w14:schemeClr w14:val="tx1"/>
            </w14:solidFill>
          </w14:textFill>
        </w:rPr>
        <w:t>（民发〔202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号）和自治区有关文件精神，结合我市实际，制定本办法。</w:t>
      </w:r>
    </w:p>
    <w:p w14:paraId="04A37A9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none"/>
          <w14:textFill>
            <w14:solidFill>
              <w14:schemeClr w14:val="tx1"/>
            </w14:solidFill>
          </w14:textFill>
        </w:rPr>
        <w:t>旗县区人民政府民政部门</w:t>
      </w:r>
      <w:r>
        <w:rPr>
          <w:rFonts w:hint="eastAsia" w:ascii="仿宋_GB2312" w:eastAsia="仿宋_GB2312"/>
          <w:color w:val="000000" w:themeColor="text1"/>
          <w:sz w:val="32"/>
          <w:szCs w:val="32"/>
          <w:u w:val="none"/>
          <w:lang w:val="en-US" w:eastAsia="zh-CN"/>
          <w14:textFill>
            <w14:solidFill>
              <w14:schemeClr w14:val="tx1"/>
            </w14:solidFill>
          </w14:textFill>
        </w:rPr>
        <w:t>和</w:t>
      </w:r>
      <w:r>
        <w:rPr>
          <w:rFonts w:hint="eastAsia" w:ascii="仿宋_GB2312" w:eastAsia="仿宋_GB2312"/>
          <w:color w:val="000000" w:themeColor="text1"/>
          <w:sz w:val="32"/>
          <w:szCs w:val="32"/>
          <w:u w:val="none"/>
          <w14:textFill>
            <w14:solidFill>
              <w14:schemeClr w14:val="tx1"/>
            </w14:solidFill>
          </w14:textFill>
        </w:rPr>
        <w:t>苏木乡镇人民政府（街道办事处）</w:t>
      </w:r>
      <w:r>
        <w:rPr>
          <w:rFonts w:hint="eastAsia" w:ascii="仿宋_GB2312" w:eastAsia="仿宋_GB2312"/>
          <w:color w:val="000000" w:themeColor="text1"/>
          <w:sz w:val="32"/>
          <w:szCs w:val="32"/>
          <w:u w:val="none"/>
          <w:lang w:eastAsia="zh-CN"/>
          <w14:textFill>
            <w14:solidFill>
              <w14:schemeClr w14:val="tx1"/>
            </w14:solidFill>
          </w14:textFill>
        </w:rPr>
        <w:t>、</w:t>
      </w:r>
      <w:r>
        <w:rPr>
          <w:rFonts w:hint="eastAsia" w:ascii="仿宋_GB2312" w:eastAsia="仿宋_GB2312"/>
          <w:color w:val="000000" w:themeColor="text1"/>
          <w:sz w:val="32"/>
          <w:szCs w:val="32"/>
          <w:u w:val="none"/>
          <w:lang w:val="en-US" w:eastAsia="zh-CN"/>
          <w14:textFill>
            <w14:solidFill>
              <w14:schemeClr w14:val="tx1"/>
            </w14:solidFill>
          </w14:textFill>
        </w:rPr>
        <w:t>社区管理服务站，以下简称</w:t>
      </w:r>
      <w:r>
        <w:rPr>
          <w:rFonts w:hint="eastAsia" w:ascii="仿宋_GB2312" w:eastAsia="仿宋_GB2312"/>
          <w:color w:val="000000" w:themeColor="text1"/>
          <w:sz w:val="32"/>
          <w:szCs w:val="32"/>
          <w:u w:val="none"/>
          <w14:textFill>
            <w14:solidFill>
              <w14:schemeClr w14:val="tx1"/>
            </w14:solidFill>
          </w14:textFill>
        </w:rPr>
        <w:t>苏木乡镇人民政府（街道办事处）</w:t>
      </w:r>
      <w:r>
        <w:rPr>
          <w:rFonts w:hint="eastAsia" w:ascii="仿宋_GB2312" w:eastAsia="仿宋_GB2312"/>
          <w:color w:val="000000" w:themeColor="text1"/>
          <w:sz w:val="32"/>
          <w:szCs w:val="32"/>
          <w:u w:val="none"/>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根据本办法开展低保审核确认工作，嘎查村（居）民委员会协助做好相关工作。</w:t>
      </w:r>
    </w:p>
    <w:p w14:paraId="6C5D0E1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审核确认权限下放到苏木乡镇人民政府（街道办事处）或社区管理服务站的，旗县区人民政府民政部门做好监督、检查工作。</w:t>
      </w:r>
    </w:p>
    <w:p w14:paraId="03E299A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第三条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旗县区人民政府民政部门应当加强低保审核确认工作的规范管理和相关服务，</w:t>
      </w:r>
      <w:r>
        <w:rPr>
          <w:rFonts w:hint="eastAsia" w:ascii="仿宋_GB2312" w:eastAsia="仿宋_GB2312"/>
          <w:color w:val="000000" w:themeColor="text1"/>
          <w:sz w:val="32"/>
          <w:szCs w:val="32"/>
          <w:lang w:val="en-US" w:eastAsia="zh-CN"/>
          <w14:textFill>
            <w14:solidFill>
              <w14:schemeClr w14:val="tx1"/>
            </w14:solidFill>
          </w14:textFill>
        </w:rPr>
        <w:t>保障</w:t>
      </w:r>
      <w:r>
        <w:rPr>
          <w:rFonts w:hint="eastAsia" w:ascii="仿宋_GB2312" w:eastAsia="仿宋_GB2312"/>
          <w:color w:val="000000" w:themeColor="text1"/>
          <w:sz w:val="32"/>
          <w:szCs w:val="32"/>
          <w14:textFill>
            <w14:solidFill>
              <w14:schemeClr w14:val="tx1"/>
            </w14:solidFill>
          </w14:textFill>
        </w:rPr>
        <w:t>低保</w:t>
      </w:r>
      <w:r>
        <w:rPr>
          <w:rFonts w:hint="eastAsia" w:ascii="仿宋_GB2312" w:eastAsia="仿宋_GB2312"/>
          <w:color w:val="000000" w:themeColor="text1"/>
          <w:sz w:val="32"/>
          <w:szCs w:val="32"/>
          <w:lang w:val="en-US" w:eastAsia="zh-CN"/>
          <w14:textFill>
            <w14:solidFill>
              <w14:schemeClr w14:val="tx1"/>
            </w14:solidFill>
          </w14:textFill>
        </w:rPr>
        <w:t>审核确认</w:t>
      </w:r>
      <w:r>
        <w:rPr>
          <w:rFonts w:hint="eastAsia" w:ascii="仿宋_GB2312" w:eastAsia="仿宋_GB2312"/>
          <w:color w:val="000000" w:themeColor="text1"/>
          <w:sz w:val="32"/>
          <w:szCs w:val="32"/>
          <w14:textFill>
            <w14:solidFill>
              <w14:schemeClr w14:val="tx1"/>
            </w14:solidFill>
          </w14:textFill>
        </w:rPr>
        <w:t>工作公开、公平、公正</w:t>
      </w:r>
      <w:r>
        <w:rPr>
          <w:rFonts w:hint="eastAsia" w:ascii="仿宋_GB2312" w:eastAsia="仿宋_GB2312"/>
          <w:color w:val="000000" w:themeColor="text1"/>
          <w:sz w:val="32"/>
          <w:szCs w:val="32"/>
          <w:lang w:val="en-US" w:eastAsia="zh-CN"/>
          <w14:textFill>
            <w14:solidFill>
              <w14:schemeClr w14:val="tx1"/>
            </w14:solidFill>
          </w14:textFill>
        </w:rPr>
        <w:t>实施</w:t>
      </w:r>
      <w:r>
        <w:rPr>
          <w:rFonts w:hint="eastAsia" w:ascii="仿宋_GB2312" w:eastAsia="仿宋_GB2312"/>
          <w:color w:val="000000" w:themeColor="text1"/>
          <w:sz w:val="32"/>
          <w:szCs w:val="32"/>
          <w14:textFill>
            <w14:solidFill>
              <w14:schemeClr w14:val="tx1"/>
            </w14:solidFill>
          </w14:textFill>
        </w:rPr>
        <w:t>。</w:t>
      </w:r>
    </w:p>
    <w:p w14:paraId="4391C95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Calibri"/>
          <w:color w:val="000000" w:themeColor="text1"/>
          <w:kern w:val="0"/>
          <w:sz w:val="32"/>
          <w:szCs w:val="32"/>
          <w14:textFill>
            <w14:solidFill>
              <w14:schemeClr w14:val="tx1"/>
            </w14:solidFill>
          </w14:textFill>
        </w:rPr>
      </w:pPr>
    </w:p>
    <w:p w14:paraId="486DD01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第二章 申请和受理</w:t>
      </w:r>
    </w:p>
    <w:p w14:paraId="6D1773C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_GB2312" w:eastAsia="仿宋_GB2312"/>
          <w:b/>
          <w:bCs/>
          <w:color w:val="000000" w:themeColor="text1"/>
          <w:sz w:val="32"/>
          <w:szCs w:val="32"/>
          <w14:textFill>
            <w14:solidFill>
              <w14:schemeClr w14:val="tx1"/>
            </w14:solidFill>
          </w14:textFill>
        </w:rPr>
      </w:pPr>
    </w:p>
    <w:p w14:paraId="5941827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申请</w:t>
      </w:r>
      <w:r>
        <w:rPr>
          <w:rFonts w:hint="eastAsia" w:ascii="仿宋_GB2312" w:eastAsia="仿宋_GB2312"/>
          <w:color w:val="000000" w:themeColor="text1"/>
          <w:sz w:val="32"/>
          <w:szCs w:val="32"/>
          <w:lang w:val="en-US" w:eastAsia="zh-CN"/>
          <w14:textFill>
            <w14:solidFill>
              <w14:schemeClr w14:val="tx1"/>
            </w14:solidFill>
          </w14:textFill>
        </w:rPr>
        <w:t>低保</w:t>
      </w:r>
      <w:r>
        <w:rPr>
          <w:rFonts w:hint="eastAsia" w:ascii="仿宋_GB2312" w:eastAsia="仿宋_GB2312"/>
          <w:color w:val="000000" w:themeColor="text1"/>
          <w:sz w:val="32"/>
          <w:szCs w:val="32"/>
          <w14:textFill>
            <w14:solidFill>
              <w14:schemeClr w14:val="tx1"/>
            </w14:solidFill>
          </w14:textFill>
        </w:rPr>
        <w:t>以家庭为单位，由申请家庭确定一名共同生活的家庭成员作为申请人，向户籍所在地苏木乡镇人民政府（街道办事处）提出书面申请；也可通过“包头民政社会救助微服务平台”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蒙速办APP等互联网渠道</w:t>
      </w:r>
      <w:r>
        <w:rPr>
          <w:rFonts w:hint="eastAsia" w:ascii="仿宋_GB2312" w:eastAsia="仿宋_GB2312"/>
          <w:color w:val="000000" w:themeColor="text1"/>
          <w:sz w:val="32"/>
          <w:szCs w:val="32"/>
          <w14:textFill>
            <w14:solidFill>
              <w14:schemeClr w14:val="tx1"/>
            </w14:solidFill>
          </w14:textFill>
        </w:rPr>
        <w:t>提出申请。</w:t>
      </w:r>
    </w:p>
    <w:p w14:paraId="1E58436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低保</w:t>
      </w:r>
      <w:r>
        <w:rPr>
          <w:rFonts w:hint="eastAsia" w:ascii="仿宋_GB2312" w:eastAsia="仿宋_GB2312"/>
          <w:color w:val="000000" w:themeColor="text1"/>
          <w:sz w:val="32"/>
          <w:szCs w:val="32"/>
          <w14:textFill>
            <w14:solidFill>
              <w14:schemeClr w14:val="tx1"/>
            </w14:solidFill>
          </w14:textFill>
        </w:rPr>
        <w:t>申请人及其家庭成员须拥有包头市户籍。申请人或者其家庭成员的户籍有以下情况之一的，可以按以下方式办理：</w:t>
      </w:r>
    </w:p>
    <w:p w14:paraId="4601B812">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bookmarkStart w:id="0" w:name="_Hlk145663096"/>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申请人及其共同生活的家庭成员均在包头市居</w:t>
      </w:r>
    </w:p>
    <w:p w14:paraId="45AF9EF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住，且户籍所在地与经常居住地一致的，</w:t>
      </w:r>
      <w:bookmarkEnd w:id="0"/>
      <w:bookmarkStart w:id="1" w:name="_Hlk145663125"/>
      <w:r>
        <w:rPr>
          <w:rFonts w:hint="eastAsia" w:ascii="仿宋_GB2312" w:eastAsia="仿宋_GB2312"/>
          <w:color w:val="000000" w:themeColor="text1"/>
          <w:sz w:val="32"/>
          <w:szCs w:val="32"/>
          <w14:textFill>
            <w14:solidFill>
              <w14:schemeClr w14:val="tx1"/>
            </w14:solidFill>
          </w14:textFill>
        </w:rPr>
        <w:t>可以向户籍所在地苏木乡镇人民政府（街道办事处）提出申请</w:t>
      </w:r>
      <w:bookmarkEnd w:id="1"/>
      <w:r>
        <w:rPr>
          <w:rFonts w:hint="eastAsia" w:ascii="仿宋_GB2312" w:eastAsia="仿宋_GB2312"/>
          <w:color w:val="000000" w:themeColor="text1"/>
          <w:sz w:val="32"/>
          <w:szCs w:val="32"/>
          <w:lang w:eastAsia="zh-CN"/>
          <w14:textFill>
            <w14:solidFill>
              <w14:schemeClr w14:val="tx1"/>
            </w14:solidFill>
          </w14:textFill>
        </w:rPr>
        <w:t>；</w:t>
      </w:r>
    </w:p>
    <w:p w14:paraId="663B99B6">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申请人及其共同生活的家庭成员均在包头市居</w:t>
      </w:r>
    </w:p>
    <w:p w14:paraId="7303E8C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住，户籍所在地与经常居住地不一致，</w:t>
      </w:r>
      <w:r>
        <w:rPr>
          <w:rFonts w:hint="eastAsia" w:ascii="仿宋_GB2312" w:eastAsia="仿宋_GB2312"/>
          <w:color w:val="000000" w:themeColor="text1"/>
          <w:sz w:val="32"/>
          <w:szCs w:val="32"/>
          <w:lang w:val="en-US" w:eastAsia="zh-CN"/>
          <w14:textFill>
            <w14:solidFill>
              <w14:schemeClr w14:val="tx1"/>
            </w14:solidFill>
          </w14:textFill>
        </w:rPr>
        <w:t>在居住地居住满一年的，</w:t>
      </w:r>
      <w:r>
        <w:rPr>
          <w:rFonts w:hint="eastAsia" w:ascii="仿宋_GB2312" w:eastAsia="仿宋_GB2312"/>
          <w:color w:val="000000" w:themeColor="text1"/>
          <w:sz w:val="32"/>
          <w:szCs w:val="32"/>
          <w14:textFill>
            <w14:solidFill>
              <w14:schemeClr w14:val="tx1"/>
            </w14:solidFill>
          </w14:textFill>
        </w:rPr>
        <w:t>可以向户籍所在地苏木乡镇人民政府（街道办事处）提出申请，也可以向经常居住地苏木乡镇人民政府（街道办事处）提出申请</w:t>
      </w:r>
      <w:r>
        <w:rPr>
          <w:rFonts w:hint="eastAsia" w:ascii="仿宋_GB2312" w:eastAsia="仿宋_GB2312"/>
          <w:color w:val="000000" w:themeColor="text1"/>
          <w:sz w:val="32"/>
          <w:szCs w:val="32"/>
          <w:lang w:eastAsia="zh-CN"/>
          <w14:textFill>
            <w14:solidFill>
              <w14:schemeClr w14:val="tx1"/>
            </w14:solidFill>
          </w14:textFill>
        </w:rPr>
        <w:t>；</w:t>
      </w:r>
    </w:p>
    <w:p w14:paraId="5A418A92">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共同生活的家庭成员居住地不在包头市的,可以由其中一</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名</w:t>
      </w:r>
      <w:r>
        <w:rPr>
          <w:rFonts w:hint="eastAsia" w:ascii="仿宋_GB2312" w:hAnsi="Calibri" w:eastAsia="仿宋_GB2312" w:cs="Calibri"/>
          <w:color w:val="000000" w:themeColor="text1"/>
          <w:kern w:val="0"/>
          <w:sz w:val="32"/>
          <w:szCs w:val="32"/>
          <w14:textFill>
            <w14:solidFill>
              <w14:schemeClr w14:val="tx1"/>
            </w14:solidFill>
          </w14:textFill>
        </w:rPr>
        <w:t>经常居住地在包头市的家庭成员作为申请人，向其户籍所在地提出申请；共同生活的家庭成员经常居住地均不在包头市的，可以由任一家庭成员向其户籍所在地提出申请</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258EAAF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（四）有条件的旗县区可以分阶段推进持有居住证人员在居住地申办低保。</w:t>
      </w:r>
    </w:p>
    <w:p w14:paraId="25C8A0E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第六条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在户籍地提出低保申请的，</w:t>
      </w:r>
      <w:r>
        <w:rPr>
          <w:rFonts w:hint="eastAsia" w:ascii="仿宋_GB2312" w:hAnsi="Calibri" w:eastAsia="仿宋_GB2312" w:cs="Calibri"/>
          <w:color w:val="000000" w:themeColor="text1"/>
          <w:kern w:val="0"/>
          <w:sz w:val="32"/>
          <w:szCs w:val="32"/>
          <w:u w:val="none"/>
          <w14:textFill>
            <w14:solidFill>
              <w14:schemeClr w14:val="tx1"/>
            </w14:solidFill>
          </w14:textFill>
        </w:rPr>
        <w:t>低保审核确认等工作由</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户籍</w:t>
      </w:r>
      <w:r>
        <w:rPr>
          <w:rFonts w:hint="eastAsia" w:ascii="仿宋_GB2312" w:hAnsi="Calibri" w:eastAsia="仿宋_GB2312" w:cs="Calibri"/>
          <w:color w:val="000000" w:themeColor="text1"/>
          <w:kern w:val="0"/>
          <w:sz w:val="32"/>
          <w:szCs w:val="32"/>
          <w:u w:val="none"/>
          <w14:textFill>
            <w14:solidFill>
              <w14:schemeClr w14:val="tx1"/>
            </w14:solidFill>
          </w14:textFill>
        </w:rPr>
        <w:t>地旗县区人民政府民政部门和苏木乡镇人民政府（街道办事处）负责，其</w:t>
      </w:r>
      <w:r>
        <w:rPr>
          <w:rFonts w:hint="eastAsia" w:ascii="仿宋_GB2312" w:hAnsi="Calibri" w:eastAsia="仿宋_GB2312" w:cs="Calibri"/>
          <w:color w:val="000000" w:themeColor="text1"/>
          <w:kern w:val="0"/>
          <w:sz w:val="32"/>
          <w:szCs w:val="32"/>
          <w14:textFill>
            <w14:solidFill>
              <w14:schemeClr w14:val="tx1"/>
            </w14:solidFill>
          </w14:textFill>
        </w:rPr>
        <w:t>他有关旗县区人民政府民政部门和苏木乡镇人民政府（街道办事处）应当配合做好相关工作</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在居住地提出低保申请的，低保的审核确认等工作由居住地和户籍地</w:t>
      </w:r>
      <w:r>
        <w:rPr>
          <w:rFonts w:hint="eastAsia" w:ascii="仿宋_GB2312" w:hAnsi="Calibri" w:eastAsia="仿宋_GB2312" w:cs="Calibri"/>
          <w:color w:val="000000" w:themeColor="text1"/>
          <w:kern w:val="0"/>
          <w:sz w:val="32"/>
          <w:szCs w:val="32"/>
          <w:u w:val="none"/>
          <w14:textFill>
            <w14:solidFill>
              <w14:schemeClr w14:val="tx1"/>
            </w14:solidFill>
          </w14:textFill>
        </w:rPr>
        <w:t>旗县区人民政府民政部门和苏木乡镇人民政府（街道办事处）</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共同负责，</w:t>
      </w:r>
      <w:r>
        <w:rPr>
          <w:rFonts w:hint="eastAsia" w:ascii="仿宋_GB2312" w:hAnsi="Calibri" w:eastAsia="仿宋_GB2312" w:cs="Calibri"/>
          <w:color w:val="000000" w:themeColor="text1"/>
          <w:kern w:val="0"/>
          <w:sz w:val="32"/>
          <w:szCs w:val="32"/>
          <w14:textFill>
            <w14:solidFill>
              <w14:schemeClr w14:val="tx1"/>
            </w14:solidFill>
          </w14:textFill>
        </w:rPr>
        <w:t>资金发放工作由户籍所在地旗县区人民政府民政部门和苏木乡镇人民政府（街道办事处）负责。</w:t>
      </w:r>
    </w:p>
    <w:p w14:paraId="6551A0A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第七条</w:t>
      </w:r>
      <w:r>
        <w:rPr>
          <w:rFonts w:hint="eastAsia" w:ascii="仿宋_GB2312" w:hAnsi="Calibri" w:eastAsia="仿宋_GB2312" w:cs="Calibri"/>
          <w:color w:val="000000" w:themeColor="text1"/>
          <w:kern w:val="0"/>
          <w:sz w:val="32"/>
          <w:szCs w:val="32"/>
          <w14:textFill>
            <w14:solidFill>
              <w14:schemeClr w14:val="tx1"/>
            </w14:solidFill>
          </w14:textFill>
        </w:rPr>
        <w:t>  共同生活的家庭成员申请有困难的，可以委托嘎查村（居）民委员会、社会救助协理员或者其他人代为提出申请。委托申请的，应当办理相应委托手续。</w:t>
      </w:r>
    </w:p>
    <w:p w14:paraId="0571442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苏木乡镇人民政府（街道办事处）、嘎查村（居）民委员会以及社会救助协理员在工作中发现困难家庭可能符合条件，但是未申请低保的，应当主动告知其共同生活的家庭成员相关政策。</w:t>
      </w:r>
    </w:p>
    <w:p w14:paraId="6750B2B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第八条</w:t>
      </w:r>
      <w:r>
        <w:rPr>
          <w:rFonts w:hint="eastAsia" w:ascii="仿宋_GB2312" w:hAnsi="Calibri" w:eastAsia="仿宋_GB2312" w:cs="Calibri"/>
          <w:color w:val="000000" w:themeColor="text1"/>
          <w:kern w:val="0"/>
          <w:sz w:val="32"/>
          <w:szCs w:val="32"/>
          <w14:textFill>
            <w14:solidFill>
              <w14:schemeClr w14:val="tx1"/>
            </w14:solidFill>
          </w14:textFill>
        </w:rPr>
        <w:t>  共同生活的家庭成员主要包括：</w:t>
      </w:r>
    </w:p>
    <w:p w14:paraId="3326667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（一）配偶；</w:t>
      </w:r>
    </w:p>
    <w:p w14:paraId="2460625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（二）未成年子女；</w:t>
      </w:r>
    </w:p>
    <w:p w14:paraId="073BEF5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（三）已成年但不能独立生活的子女，包括在校接受全日制本科及以下学历教育的子女；</w:t>
      </w:r>
    </w:p>
    <w:p w14:paraId="1EDAD9C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（四）其他具有法定赡养、扶养、抚养义务关系并长期共同居住的人员。</w:t>
      </w:r>
    </w:p>
    <w:p w14:paraId="6B45268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下列人员不计入共同生活的家庭成员：</w:t>
      </w:r>
    </w:p>
    <w:p w14:paraId="2C4E927A">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连续三年以上（含三年）脱离家庭独立生活的</w:t>
      </w:r>
    </w:p>
    <w:p w14:paraId="0510867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宗教教职人员；</w:t>
      </w:r>
    </w:p>
    <w:p w14:paraId="56FC4A98">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在监狱内服刑、在戒毒所强制隔离戒毒或者宣</w:t>
      </w:r>
    </w:p>
    <w:p w14:paraId="24E1945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告失踪人员；</w:t>
      </w:r>
    </w:p>
    <w:p w14:paraId="7411449B">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现役军人中的义务兵；</w:t>
      </w:r>
    </w:p>
    <w:p w14:paraId="72DF2A1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（四）已毕业未婚大学生；</w:t>
      </w:r>
    </w:p>
    <w:p w14:paraId="1BE946C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（五）年满1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周岁的非学生未婚人员；</w:t>
      </w:r>
    </w:p>
    <w:p w14:paraId="1C9E127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（六）与申请人在同一户口簿但无法定赡养、抚养、</w:t>
      </w:r>
    </w:p>
    <w:p w14:paraId="7800A3A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扶养义务关系人员；</w:t>
      </w:r>
    </w:p>
    <w:p w14:paraId="66E5BC7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（七）因结婚、离婚等原因脱离家庭在外生活但户籍未迁移的人员</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7417CE7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第九条</w:t>
      </w:r>
      <w:r>
        <w:rPr>
          <w:rFonts w:hint="eastAsia" w:ascii="仿宋_GB2312" w:hAnsi="Calibri" w:eastAsia="仿宋_GB2312" w:cs="Calibri"/>
          <w:color w:val="000000" w:themeColor="text1"/>
          <w:kern w:val="0"/>
          <w:sz w:val="32"/>
          <w:szCs w:val="32"/>
          <w14:textFill>
            <w14:solidFill>
              <w14:schemeClr w14:val="tx1"/>
            </w14:solidFill>
          </w14:textFill>
        </w:rPr>
        <w:t>  符合下列情形之一的人员，可以单独提出申请：</w:t>
      </w:r>
    </w:p>
    <w:p w14:paraId="3BC7181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（一）低保边缘家庭中持有中华人民共和国残疾人证的一级、二级重度残疾人和三级智力残疾人、三级精神残疾人；</w:t>
      </w:r>
    </w:p>
    <w:p w14:paraId="338500C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14:textFill>
            <w14:solidFill>
              <w14:schemeClr w14:val="tx1"/>
            </w14:solidFill>
          </w14:textFill>
        </w:rPr>
        <w:t>）低保边缘家庭中患有当地有关部门认定的重特大疾病的人员</w:t>
      </w:r>
      <w:r>
        <w:rPr>
          <w:rFonts w:hint="eastAsia" w:ascii="仿宋_GB2312" w:hAnsi="Calibri" w:eastAsia="仿宋_GB2312" w:cs="Calibri"/>
          <w:color w:val="000000" w:themeColor="text1"/>
          <w:kern w:val="0"/>
          <w:sz w:val="32"/>
          <w:szCs w:val="32"/>
          <w:u w:val="none"/>
          <w14:textFill>
            <w14:solidFill>
              <w14:schemeClr w14:val="tx1"/>
            </w14:solidFill>
          </w14:textFill>
        </w:rPr>
        <w:t>（</w:t>
      </w:r>
      <w:r>
        <w:rPr>
          <w:rFonts w:hint="eastAsia" w:ascii="仿宋_GB2312" w:hAnsi="Calibri" w:eastAsia="仿宋_GB2312" w:cs="Calibri"/>
          <w:color w:val="000000" w:themeColor="text1"/>
          <w:kern w:val="0"/>
          <w:sz w:val="32"/>
          <w:szCs w:val="32"/>
          <w:u w:val="none"/>
          <w14:textFill>
            <w14:solidFill>
              <w14:schemeClr w14:val="tx1"/>
            </w14:solidFill>
          </w14:textFill>
        </w:rPr>
        <w:t>各地参照当地卫健委公布的病种，根据实际情况实时确定</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u w:val="none"/>
          <w14:textFill>
            <w14:solidFill>
              <w14:schemeClr w14:val="tx1"/>
            </w14:solidFill>
          </w14:textFill>
        </w:rPr>
        <w:t>认定的重病或门诊慢性病病种</w:t>
      </w:r>
      <w:r>
        <w:rPr>
          <w:rFonts w:hint="eastAsia" w:ascii="仿宋_GB2312" w:hAnsi="Calibri" w:eastAsia="仿宋_GB2312" w:cs="Calibri"/>
          <w:color w:val="000000" w:themeColor="text1"/>
          <w:kern w:val="0"/>
          <w:sz w:val="32"/>
          <w:szCs w:val="32"/>
          <w:u w:val="none"/>
          <w14:textFill>
            <w14:solidFill>
              <w14:schemeClr w14:val="tx1"/>
            </w14:solidFill>
          </w14:textFill>
        </w:rPr>
        <w:t>）；</w:t>
      </w:r>
    </w:p>
    <w:p w14:paraId="7FF3B22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成年无业</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pacing w:val="0"/>
          <w:sz w:val="32"/>
          <w:szCs w:val="32"/>
          <w14:textFill>
            <w14:solidFill>
              <w14:schemeClr w14:val="tx1"/>
            </w14:solidFill>
          </w14:textFill>
        </w:rPr>
        <w:t>重度残疾人</w:t>
      </w:r>
      <w:r>
        <w:rPr>
          <w:rFonts w:hint="eastAsia" w:ascii="仿宋_GB2312" w:hAnsi="Calibri" w:eastAsia="仿宋_GB2312" w:cs="Calibri"/>
          <w:color w:val="000000" w:themeColor="text1"/>
          <w:kern w:val="0"/>
          <w:sz w:val="32"/>
          <w:szCs w:val="32"/>
          <w14:textFill>
            <w14:solidFill>
              <w14:schemeClr w14:val="tx1"/>
            </w14:solidFill>
          </w14:textFill>
        </w:rPr>
        <w:t>；</w:t>
      </w:r>
    </w:p>
    <w:p w14:paraId="1CB08B3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（四）脱离家庭、在宗教场所居住三年以上（含三年）的生活困难的宗教教职人员；</w:t>
      </w:r>
    </w:p>
    <w:p w14:paraId="14F7034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低保边缘家庭一般指不符合低保条件，家庭人均收入低于当地低保标准1.5倍，且财产状况符合相关规定的家庭。</w:t>
      </w:r>
    </w:p>
    <w:p w14:paraId="1F50D79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第十条</w:t>
      </w:r>
      <w:r>
        <w:rPr>
          <w:rFonts w:ascii="宋体" w:hAnsi="宋体" w:eastAsia="宋体"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申请低保时，共同生活的家庭成员应当履行以下义务：</w:t>
      </w:r>
    </w:p>
    <w:p w14:paraId="33D2C87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（一）按规定提交相关申请材料；</w:t>
      </w:r>
    </w:p>
    <w:p w14:paraId="1EAEFC5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（二）承诺所提供的信息真实、完整；</w:t>
      </w:r>
    </w:p>
    <w:p w14:paraId="2452477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（三）履行授权核查家庭经济状况的相关手续；</w:t>
      </w:r>
    </w:p>
    <w:p w14:paraId="098AB97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（四）积极配合开展家庭经济状况调查。</w:t>
      </w:r>
    </w:p>
    <w:p w14:paraId="59FFFF9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第十一条</w:t>
      </w:r>
      <w:r>
        <w:rPr>
          <w:rFonts w:hint="eastAsia" w:ascii="仿宋_GB2312" w:hAnsi="Calibri" w:eastAsia="仿宋_GB2312" w:cs="Calibri"/>
          <w:color w:val="000000" w:themeColor="text1"/>
          <w:kern w:val="0"/>
          <w:sz w:val="32"/>
          <w:szCs w:val="32"/>
          <w14:textFill>
            <w14:solidFill>
              <w14:schemeClr w14:val="tx1"/>
            </w14:solidFill>
          </w14:textFill>
        </w:rPr>
        <w:t>  低保申请家庭应提供如下材料：</w:t>
      </w:r>
    </w:p>
    <w:p w14:paraId="3589862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（一）家庭成员的户口簿、身份证；</w:t>
      </w:r>
    </w:p>
    <w:p w14:paraId="1D58B4C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（二）家庭收入证明材料；</w:t>
      </w:r>
    </w:p>
    <w:p w14:paraId="08C1BC6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（三）疾病情况证明；</w:t>
      </w:r>
    </w:p>
    <w:p w14:paraId="17393D0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（四）残疾人证；</w:t>
      </w:r>
    </w:p>
    <w:p w14:paraId="56F208A6">
      <w:pPr>
        <w:keepNext w:val="0"/>
        <w:keepLines w:val="0"/>
        <w:pageBreakBefore w:val="0"/>
        <w:kinsoku/>
        <w:wordWrap/>
        <w:overflowPunct/>
        <w:topLinePunct w:val="0"/>
        <w:autoSpaceDE/>
        <w:autoSpaceDN/>
        <w:bidi w:val="0"/>
        <w:adjustRightInd/>
        <w:snapToGrid/>
        <w:spacing w:line="600" w:lineRule="exact"/>
        <w:ind w:left="0" w:leftChars="0" w:firstLine="645"/>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w:t>
      </w:r>
      <w:r>
        <w:rPr>
          <w:rFonts w:hint="eastAsia" w:ascii="仿宋_GB2312" w:hAnsi="仿宋_GB2312" w:eastAsia="仿宋_GB2312" w:cs="仿宋_GB2312"/>
          <w:color w:val="000000" w:themeColor="text1"/>
          <w:sz w:val="32"/>
          <w:szCs w:val="32"/>
          <w:u w:val="none"/>
          <w14:textFill>
            <w14:solidFill>
              <w14:schemeClr w14:val="tx1"/>
            </w14:solidFill>
          </w14:textFill>
        </w:rPr>
        <w:t>在校学生需提</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供</w:t>
      </w:r>
      <w:r>
        <w:rPr>
          <w:rFonts w:hint="eastAsia" w:ascii="仿宋_GB2312" w:hAnsi="仿宋_GB2312" w:eastAsia="仿宋_GB2312" w:cs="仿宋_GB2312"/>
          <w:color w:val="000000" w:themeColor="text1"/>
          <w:sz w:val="32"/>
          <w:szCs w:val="32"/>
          <w:u w:val="none"/>
          <w14:textFill>
            <w14:solidFill>
              <w14:schemeClr w14:val="tx1"/>
            </w14:solidFill>
          </w14:textFill>
        </w:rPr>
        <w:t>在校佐证材料；</w:t>
      </w:r>
    </w:p>
    <w:p w14:paraId="1600933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（六）审核确认过程中，对家庭经济状况调查结果有异议的，需要提供相关证明</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50635D0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七</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其他需要提供的材料。</w:t>
      </w:r>
    </w:p>
    <w:p w14:paraId="7E70458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申请低保的残疾人以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残联</w:t>
      </w:r>
      <w:r>
        <w:rPr>
          <w:rFonts w:hint="eastAsia" w:ascii="仿宋_GB2312" w:hAnsi="仿宋_GB2312" w:eastAsia="仿宋_GB2312" w:cs="仿宋_GB2312"/>
          <w:color w:val="000000" w:themeColor="text1"/>
          <w:sz w:val="32"/>
          <w:szCs w:val="32"/>
          <w14:textFill>
            <w14:solidFill>
              <w14:schemeClr w14:val="tx1"/>
            </w14:solidFill>
          </w14:textFill>
        </w:rPr>
        <w:t>核发并在中国残联网上注册的《中华人民共和国残疾人证》为认定依据。</w:t>
      </w:r>
      <w:r>
        <w:rPr>
          <w:rFonts w:hint="eastAsia" w:ascii="仿宋_GB2312" w:hAnsi="仿宋_GB2312" w:eastAsia="仿宋_GB2312" w:cs="仿宋_GB2312"/>
          <w:color w:val="000000" w:themeColor="text1"/>
          <w:sz w:val="32"/>
          <w:szCs w:val="32"/>
          <w:u w:val="none"/>
          <w14:textFill>
            <w14:solidFill>
              <w14:schemeClr w14:val="tx1"/>
            </w14:solidFill>
          </w14:textFill>
        </w:rPr>
        <w:t>因特殊原因未办残疾人证的，由所在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u w:val="none"/>
          <w14:textFill>
            <w14:solidFill>
              <w14:schemeClr w14:val="tx1"/>
            </w14:solidFill>
          </w14:textFill>
        </w:rPr>
        <w:t>乡镇</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u w:val="none"/>
          <w14:textFill>
            <w14:solidFill>
              <w14:schemeClr w14:val="tx1"/>
            </w14:solidFill>
          </w14:textFill>
        </w:rPr>
        <w:t>（街道办事处）登记，并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告知</w:t>
      </w:r>
      <w:r>
        <w:rPr>
          <w:rFonts w:hint="eastAsia" w:ascii="仿宋_GB2312" w:hAnsi="仿宋_GB2312" w:eastAsia="仿宋_GB2312" w:cs="仿宋_GB2312"/>
          <w:color w:val="000000" w:themeColor="text1"/>
          <w:sz w:val="32"/>
          <w:szCs w:val="32"/>
          <w:u w:val="none"/>
          <w14:textFill>
            <w14:solidFill>
              <w14:schemeClr w14:val="tx1"/>
            </w14:solidFill>
          </w14:textFill>
        </w:rPr>
        <w:t>当地残联，给予残疾等级认定。已瘫痪或完全丧失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生活</w:t>
      </w:r>
      <w:r>
        <w:rPr>
          <w:rFonts w:hint="eastAsia" w:ascii="仿宋_GB2312" w:hAnsi="仿宋_GB2312" w:eastAsia="仿宋_GB2312" w:cs="仿宋_GB2312"/>
          <w:color w:val="000000" w:themeColor="text1"/>
          <w:sz w:val="32"/>
          <w:szCs w:val="32"/>
          <w:u w:val="none"/>
          <w14:textFill>
            <w14:solidFill>
              <w14:schemeClr w14:val="tx1"/>
            </w14:solidFill>
          </w14:textFill>
        </w:rPr>
        <w:t>自理能力人员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残联无法认定</w:t>
      </w:r>
      <w:r>
        <w:rPr>
          <w:rFonts w:hint="eastAsia" w:ascii="仿宋_GB2312" w:hAnsi="仿宋_GB2312" w:eastAsia="仿宋_GB2312" w:cs="仿宋_GB2312"/>
          <w:color w:val="000000" w:themeColor="text1"/>
          <w:sz w:val="32"/>
          <w:szCs w:val="32"/>
          <w:u w:val="none"/>
          <w14:textFill>
            <w14:solidFill>
              <w14:schemeClr w14:val="tx1"/>
            </w14:solidFill>
          </w14:textFill>
        </w:rPr>
        <w:t>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由</w:t>
      </w:r>
      <w:r>
        <w:rPr>
          <w:rFonts w:hint="eastAsia" w:ascii="仿宋_GB2312" w:hAnsi="仿宋_GB2312" w:eastAsia="仿宋_GB2312" w:cs="仿宋_GB2312"/>
          <w:color w:val="000000" w:themeColor="text1"/>
          <w:sz w:val="32"/>
          <w:szCs w:val="32"/>
          <w:u w:val="none"/>
          <w14:textFill>
            <w14:solidFill>
              <w14:schemeClr w14:val="tx1"/>
            </w14:solidFill>
          </w14:textFill>
        </w:rPr>
        <w:t>旗县区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u w:val="none"/>
          <w14:textFill>
            <w14:solidFill>
              <w14:schemeClr w14:val="tx1"/>
            </w14:solidFill>
          </w14:textFill>
        </w:rPr>
        <w:t>民政部门、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u w:val="none"/>
          <w14:textFill>
            <w14:solidFill>
              <w14:schemeClr w14:val="tx1"/>
            </w14:solidFill>
          </w14:textFill>
        </w:rPr>
        <w:t>乡镇</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u w:val="none"/>
          <w14:textFill>
            <w14:solidFill>
              <w14:schemeClr w14:val="tx1"/>
            </w14:solidFill>
          </w14:textFill>
        </w:rPr>
        <w:t>（街道办事处）经走访调查、监护人提供书面说明，据实确认。</w:t>
      </w:r>
    </w:p>
    <w:p w14:paraId="6CEF5D1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第十二条</w:t>
      </w:r>
      <w:r>
        <w:rPr>
          <w:rFonts w:hint="eastAsia" w:ascii="仿宋_GB2312" w:hAnsi="Calibri" w:eastAsia="仿宋_GB2312" w:cs="Calibri"/>
          <w:color w:val="000000" w:themeColor="text1"/>
          <w:kern w:val="0"/>
          <w:sz w:val="32"/>
          <w:szCs w:val="32"/>
          <w14:textFill>
            <w14:solidFill>
              <w14:schemeClr w14:val="tx1"/>
            </w14:solidFill>
          </w14:textFill>
        </w:rPr>
        <w:t>  低保申请家庭收入、财产、婚姻状况等，由申请人如实申报并签署承诺书，苏木乡镇人民政府（街道办事处）和旗县区人民政府民政部门通过查看法定证照、查询政务服务平台、开展家庭经济状况核对等方式开展调查，申请人对调查结果无异议的，不得要求申请人提供相关证明材料。</w:t>
      </w:r>
    </w:p>
    <w:p w14:paraId="6BE269C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苏木</w:t>
      </w:r>
      <w:r>
        <w:rPr>
          <w:rFonts w:hint="eastAsia" w:ascii="仿宋_GB2312" w:hAnsi="仿宋_GB2312" w:eastAsia="仿宋_GB2312" w:cs="仿宋_GB2312"/>
          <w:color w:val="000000" w:themeColor="text1"/>
          <w:sz w:val="32"/>
          <w:szCs w:val="32"/>
          <w14:textFill>
            <w14:solidFill>
              <w14:schemeClr w14:val="tx1"/>
            </w14:solidFill>
          </w14:textFill>
        </w:rPr>
        <w:t>乡镇人民政府（街道办事处）应当对提交的材料进行审查，材料齐备的，予以受理；材料不齐备的，应当一次性告知补齐所有规定材料。</w:t>
      </w:r>
    </w:p>
    <w:p w14:paraId="641227C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第十三条</w:t>
      </w:r>
      <w:r>
        <w:rPr>
          <w:rFonts w:hint="eastAsia" w:ascii="仿宋_GB2312" w:hAnsi="Calibri" w:eastAsia="仿宋_GB2312" w:cs="Calibri"/>
          <w:color w:val="000000" w:themeColor="text1"/>
          <w:kern w:val="0"/>
          <w:sz w:val="32"/>
          <w:szCs w:val="32"/>
          <w14:textFill>
            <w14:solidFill>
              <w14:schemeClr w14:val="tx1"/>
            </w14:solidFill>
          </w14:textFill>
        </w:rPr>
        <w:t>  对于已经受理的低保家庭申请，共同生活家庭成员与低保经办人员、嘎查村（居）民委员会成员、社会救助协理员有近亲属关系的，苏木乡镇人民政府（街道办事处）应当单独登记备案。</w:t>
      </w:r>
    </w:p>
    <w:p w14:paraId="3CA1078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Calibri"/>
          <w:color w:val="000000" w:themeColor="text1"/>
          <w:kern w:val="0"/>
          <w:sz w:val="32"/>
          <w:szCs w:val="32"/>
          <w14:textFill>
            <w14:solidFill>
              <w14:schemeClr w14:val="tx1"/>
            </w14:solidFill>
          </w14:textFill>
        </w:rPr>
      </w:pPr>
    </w:p>
    <w:p w14:paraId="7BCA9B2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第三章 家庭经济状况调查</w:t>
      </w:r>
    </w:p>
    <w:p w14:paraId="5BCA167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5D1C624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第十四条</w:t>
      </w:r>
      <w:r>
        <w:rPr>
          <w:rFonts w:hint="eastAsia" w:ascii="仿宋_GB2312" w:hAnsi="Calibri" w:eastAsia="仿宋_GB2312" w:cs="Calibri"/>
          <w:color w:val="000000" w:themeColor="text1"/>
          <w:kern w:val="0"/>
          <w:sz w:val="32"/>
          <w:szCs w:val="32"/>
          <w14:textFill>
            <w14:solidFill>
              <w14:schemeClr w14:val="tx1"/>
            </w14:solidFill>
          </w14:textFill>
        </w:rPr>
        <w:t>  家庭经济状况指共同生活家庭成员拥有的全部家庭收入和家庭财产。</w:t>
      </w:r>
    </w:p>
    <w:p w14:paraId="492A094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第十五条</w:t>
      </w:r>
      <w:r>
        <w:rPr>
          <w:rFonts w:hint="eastAsia" w:ascii="仿宋_GB2312" w:hAnsi="Calibri" w:eastAsia="仿宋_GB2312" w:cs="Calibri"/>
          <w:color w:val="000000" w:themeColor="text1"/>
          <w:kern w:val="0"/>
          <w:sz w:val="32"/>
          <w:szCs w:val="32"/>
          <w14:textFill>
            <w14:solidFill>
              <w14:schemeClr w14:val="tx1"/>
            </w14:solidFill>
          </w14:textFill>
        </w:rPr>
        <w:t>  家庭收入指共同生活的家庭成员在规定期限</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12个月内</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内获得的全部现金及实物收入，主要包括：</w:t>
      </w:r>
    </w:p>
    <w:p w14:paraId="7FDA576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1143995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工资性收入参照劳动合同认定;没有劳动合同的，通过调查就业和劳动报酬、各种福利收入认定，或根据社会保险、个人所得税、住房公积金的缴纳情况推算;对于无法推算实际工资收入的灵活就业人员，其工资收入计算方法如下：</w:t>
      </w:r>
    </w:p>
    <w:p w14:paraId="5E02E5C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务工人员年收入＝个人劳动力系数×本年度务工地最低工资标准×务工月数（城镇务工人员按照1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个月计算，农村牧区务工人员按照8个月计算）。</w:t>
      </w:r>
    </w:p>
    <w:p w14:paraId="30FAE33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本年度务工地最低工资标准按</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当地</w:t>
      </w:r>
      <w:r>
        <w:rPr>
          <w:rFonts w:hint="eastAsia" w:ascii="仿宋_GB2312" w:hAnsi="Calibri" w:eastAsia="仿宋_GB2312" w:cs="Calibri"/>
          <w:color w:val="000000" w:themeColor="text1"/>
          <w:kern w:val="0"/>
          <w:sz w:val="32"/>
          <w:szCs w:val="32"/>
          <w14:textFill>
            <w14:solidFill>
              <w14:schemeClr w14:val="tx1"/>
            </w14:solidFill>
          </w14:textFill>
        </w:rPr>
        <w:t>人力资源社会保障部门公布数据确定；个人劳动力系数可参照《包头市申请</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低保家庭</w:t>
      </w:r>
      <w:r>
        <w:rPr>
          <w:rFonts w:hint="eastAsia" w:ascii="仿宋_GB2312" w:hAnsi="Calibri" w:eastAsia="仿宋_GB2312" w:cs="Calibri"/>
          <w:color w:val="000000" w:themeColor="text1"/>
          <w:kern w:val="0"/>
          <w:sz w:val="32"/>
          <w:szCs w:val="32"/>
          <w14:textFill>
            <w14:solidFill>
              <w14:schemeClr w14:val="tx1"/>
            </w14:solidFill>
          </w14:textFill>
        </w:rPr>
        <w:t>劳动力系数测算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建议标准</w:t>
      </w:r>
      <w:r>
        <w:rPr>
          <w:rFonts w:hint="eastAsia" w:ascii="仿宋_GB2312" w:hAnsi="Calibri" w:eastAsia="仿宋_GB2312" w:cs="Calibri"/>
          <w:color w:val="000000" w:themeColor="text1"/>
          <w:kern w:val="0"/>
          <w:sz w:val="32"/>
          <w:szCs w:val="32"/>
          <w14:textFill>
            <w14:solidFill>
              <w14:schemeClr w14:val="tx1"/>
            </w14:solidFill>
          </w14:textFill>
        </w:rPr>
        <w:t>》（附件）确定。</w:t>
      </w:r>
    </w:p>
    <w:p w14:paraId="51375A6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共同生活家庭成员有劳动能力，但因客观原因确实难以就业或者较长时间无法获得收入的，应客观考虑家庭成员实际情况综合认定工资性收入。</w:t>
      </w:r>
    </w:p>
    <w:p w14:paraId="03DA67F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4E988EC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种植业经营年收入应统筹考虑土地经营收入、土地流转收入等因素。</w:t>
      </w:r>
    </w:p>
    <w:p w14:paraId="6E2D947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土地经营个人年收入=个人劳动力系数×上年度本地区农牧民人均可支配收入×6</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w:t>
      </w:r>
    </w:p>
    <w:p w14:paraId="076DE72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养殖业经营年收入以本地区同等养殖品种市场价格与实际出栏数推算;不能确定实际出栏数的，参照以下计算方法</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测算</w:t>
      </w:r>
      <w:r>
        <w:rPr>
          <w:rFonts w:hint="eastAsia" w:ascii="仿宋_GB2312" w:hAnsi="Calibri" w:eastAsia="仿宋_GB2312" w:cs="Calibri"/>
          <w:color w:val="000000" w:themeColor="text1"/>
          <w:kern w:val="0"/>
          <w:sz w:val="32"/>
          <w:szCs w:val="32"/>
          <w14:textFill>
            <w14:solidFill>
              <w14:schemeClr w14:val="tx1"/>
            </w14:solidFill>
          </w14:textFill>
        </w:rPr>
        <w:t>，即：</w:t>
      </w:r>
    </w:p>
    <w:p w14:paraId="5D7ED28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养殖业经营年收入＝（现有牲畜数量-起算基数）×平均每头（只）牲畜年收入核算标准。</w:t>
      </w:r>
    </w:p>
    <w:p w14:paraId="0C2197D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牲畜包括牛（马、驴、骡）、羊、生猪、家禽等，其中：牛（马、驴、骡）按</w:t>
      </w:r>
      <w:r>
        <w:rPr>
          <w:rFonts w:ascii="仿宋_GB2312" w:hAnsi="Calibri" w:eastAsia="仿宋_GB2312" w:cs="Calibri"/>
          <w:color w:val="000000" w:themeColor="text1"/>
          <w:kern w:val="0"/>
          <w:sz w:val="32"/>
          <w:szCs w:val="32"/>
          <w14:textFill>
            <w14:solidFill>
              <w14:schemeClr w14:val="tx1"/>
            </w14:solidFill>
          </w14:textFill>
        </w:rPr>
        <w:t>3</w:t>
      </w:r>
      <w:r>
        <w:rPr>
          <w:rFonts w:hint="eastAsia" w:ascii="仿宋_GB2312" w:hAnsi="Calibri" w:eastAsia="仿宋_GB2312" w:cs="Calibri"/>
          <w:color w:val="000000" w:themeColor="text1"/>
          <w:kern w:val="0"/>
          <w:sz w:val="32"/>
          <w:szCs w:val="32"/>
          <w14:textFill>
            <w14:solidFill>
              <w14:schemeClr w14:val="tx1"/>
            </w14:solidFill>
          </w14:textFill>
        </w:rPr>
        <w:t>头起核算，生猪按</w:t>
      </w:r>
      <w:r>
        <w:rPr>
          <w:rFonts w:ascii="仿宋_GB2312" w:hAnsi="Calibri" w:eastAsia="仿宋_GB2312" w:cs="Calibri"/>
          <w:color w:val="000000" w:themeColor="text1"/>
          <w:kern w:val="0"/>
          <w:sz w:val="32"/>
          <w:szCs w:val="32"/>
          <w14:textFill>
            <w14:solidFill>
              <w14:schemeClr w14:val="tx1"/>
            </w14:solidFill>
          </w14:textFill>
        </w:rPr>
        <w:t>5</w:t>
      </w:r>
      <w:r>
        <w:rPr>
          <w:rFonts w:hint="eastAsia" w:ascii="仿宋_GB2312" w:hAnsi="Calibri" w:eastAsia="仿宋_GB2312" w:cs="Calibri"/>
          <w:color w:val="000000" w:themeColor="text1"/>
          <w:kern w:val="0"/>
          <w:sz w:val="32"/>
          <w:szCs w:val="32"/>
          <w14:textFill>
            <w14:solidFill>
              <w14:schemeClr w14:val="tx1"/>
            </w14:solidFill>
          </w14:textFill>
        </w:rPr>
        <w:t>头起核算，羊按</w:t>
      </w:r>
      <w:r>
        <w:rPr>
          <w:rFonts w:ascii="仿宋_GB2312" w:hAnsi="Calibri" w:eastAsia="仿宋_GB2312" w:cs="Calibri"/>
          <w:color w:val="000000" w:themeColor="text1"/>
          <w:kern w:val="0"/>
          <w:sz w:val="32"/>
          <w:szCs w:val="32"/>
          <w14:textFill>
            <w14:solidFill>
              <w14:schemeClr w14:val="tx1"/>
            </w14:solidFill>
          </w14:textFill>
        </w:rPr>
        <w:t>10</w:t>
      </w:r>
      <w:r>
        <w:rPr>
          <w:rFonts w:hint="eastAsia" w:ascii="仿宋_GB2312" w:hAnsi="Calibri" w:eastAsia="仿宋_GB2312" w:cs="Calibri"/>
          <w:color w:val="000000" w:themeColor="text1"/>
          <w:kern w:val="0"/>
          <w:sz w:val="32"/>
          <w:szCs w:val="32"/>
          <w14:textFill>
            <w14:solidFill>
              <w14:schemeClr w14:val="tx1"/>
            </w14:solidFill>
          </w14:textFill>
        </w:rPr>
        <w:t>只起核算，</w:t>
      </w:r>
      <w:r>
        <w:rPr>
          <w:rFonts w:hint="eastAsia" w:ascii="仿宋" w:hAnsi="仿宋" w:eastAsia="仿宋" w:cs="仿宋"/>
          <w:color w:val="000000" w:themeColor="text1"/>
          <w:sz w:val="32"/>
          <w:szCs w:val="32"/>
          <w14:textFill>
            <w14:solidFill>
              <w14:schemeClr w14:val="tx1"/>
            </w14:solidFill>
          </w14:textFill>
        </w:rPr>
        <w:t>鸡鸭等小型牲畜</w:t>
      </w:r>
      <w:r>
        <w:rPr>
          <w:rFonts w:ascii="仿宋" w:hAnsi="仿宋" w:eastAsia="仿宋" w:cs="仿宋"/>
          <w:color w:val="000000" w:themeColor="text1"/>
          <w:sz w:val="32"/>
          <w:szCs w:val="32"/>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只起核算，</w:t>
      </w:r>
      <w:r>
        <w:rPr>
          <w:rFonts w:hint="eastAsia" w:ascii="仿宋_GB2312" w:hAnsi="Calibri" w:eastAsia="仿宋_GB2312" w:cs="Calibri"/>
          <w:color w:val="000000" w:themeColor="text1"/>
          <w:kern w:val="0"/>
          <w:sz w:val="32"/>
          <w:szCs w:val="32"/>
          <w14:textFill>
            <w14:solidFill>
              <w14:schemeClr w14:val="tx1"/>
            </w14:solidFill>
          </w14:textFill>
        </w:rPr>
        <w:t>饲养牲畜数以入户调查核实</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出栏</w:t>
      </w:r>
      <w:r>
        <w:rPr>
          <w:rFonts w:hint="eastAsia" w:ascii="仿宋_GB2312" w:hAnsi="Calibri" w:eastAsia="仿宋_GB2312" w:cs="Calibri"/>
          <w:color w:val="000000" w:themeColor="text1"/>
          <w:kern w:val="0"/>
          <w:sz w:val="32"/>
          <w:szCs w:val="32"/>
          <w14:textFill>
            <w14:solidFill>
              <w14:schemeClr w14:val="tx1"/>
            </w14:solidFill>
          </w14:textFill>
        </w:rPr>
        <w:t>牲畜数为准。</w:t>
      </w:r>
    </w:p>
    <w:p w14:paraId="36896FB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经营企业的，按照企业实际净收入或实际缴纳税收基数综合认定;无法认定实际收入的，参考当地同行业、同规模企业平均收入和企业实际缴纳税收情况综合认定。其他情形按当地评估标准和方法推算。</w:t>
      </w:r>
    </w:p>
    <w:p w14:paraId="12C34B3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1935CB9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出让、租赁等收入，参照双方签订的相关合法有效合同计算;个人不能提供相关合同或合同确定的收益明显低于市场平均收益的，参照当地同类资产出让、租赁的平均价格推算。储蓄存款利息、有价证券红利、储蓄性保险投资以及其他股息和红利等按照金融机构提供的信息计算，集体财产收入分红按集体出具的分配记录计算。</w:t>
      </w:r>
    </w:p>
    <w:p w14:paraId="52D25DE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Calibri" w:hAnsi="Calibri" w:eastAsia="宋体" w:cs="Calibri"/>
          <w:b w:val="0"/>
          <w:bCs w:val="0"/>
          <w:color w:val="000000" w:themeColor="text1"/>
          <w:kern w:val="0"/>
          <w:sz w:val="32"/>
          <w:szCs w:val="32"/>
          <w:u w:val="none"/>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 xml:space="preserve"> </w:t>
      </w: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拆迁补偿和征地补偿按实际补偿金额计算，可抵扣用于购买自住房屋（</w:t>
      </w:r>
      <w:r>
        <w:rPr>
          <w:rFonts w:hint="eastAsia" w:ascii="仿宋_GB2312" w:hAnsi="仿宋_GB2312" w:eastAsia="仿宋_GB2312" w:cs="仿宋_GB2312"/>
          <w:color w:val="000000" w:themeColor="text1"/>
          <w:kern w:val="0"/>
          <w:sz w:val="32"/>
          <w:szCs w:val="32"/>
          <w14:textFill>
            <w14:solidFill>
              <w14:schemeClr w14:val="tx1"/>
            </w14:solidFill>
          </w14:textFill>
        </w:rPr>
        <w:t>人均住房面积不超过</w:t>
      </w:r>
      <w:bookmarkStart w:id="2" w:name="_Hlk145665799"/>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43</w:t>
      </w:r>
      <w:bookmarkEnd w:id="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平方米</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等合理性支出。</w:t>
      </w:r>
    </w:p>
    <w:p w14:paraId="72AD5E1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14:paraId="44AE6BA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转移性收入和转移性支出有实际发生数额凭证的，以凭证数额计算;有协议、裁判文书的，按照</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协议、</w:t>
      </w:r>
      <w:r>
        <w:rPr>
          <w:rFonts w:hint="eastAsia" w:ascii="仿宋_GB2312" w:hAnsi="Calibri" w:eastAsia="仿宋_GB2312" w:cs="Calibri"/>
          <w:color w:val="000000" w:themeColor="text1"/>
          <w:kern w:val="0"/>
          <w:sz w:val="32"/>
          <w:szCs w:val="32"/>
          <w14:textFill>
            <w14:solidFill>
              <w14:schemeClr w14:val="tx1"/>
            </w14:solidFill>
          </w14:textFill>
        </w:rPr>
        <w:t>法律文书所规定的数额计算。</w:t>
      </w:r>
    </w:p>
    <w:p w14:paraId="47044F2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ascii="仿宋_GB2312" w:hAnsi="Calibri" w:eastAsia="仿宋_GB2312" w:cs="Calibri"/>
          <w:color w:val="000000" w:themeColor="text1"/>
          <w:kern w:val="0"/>
          <w:sz w:val="32"/>
          <w:szCs w:val="32"/>
          <w:u w:val="none"/>
          <w14:textFill>
            <w14:solidFill>
              <w14:schemeClr w14:val="tx1"/>
            </w14:solidFill>
          </w14:textFill>
        </w:rPr>
        <w:t>1.</w:t>
      </w:r>
      <w:r>
        <w:rPr>
          <w:rFonts w:hint="eastAsia" w:ascii="仿宋_GB2312" w:hAnsi="Calibri" w:eastAsia="仿宋_GB2312" w:cs="Calibri"/>
          <w:color w:val="000000" w:themeColor="text1"/>
          <w:kern w:val="0"/>
          <w:sz w:val="32"/>
          <w:szCs w:val="32"/>
          <w:u w:val="none"/>
          <w14:textFill>
            <w14:solidFill>
              <w14:schemeClr w14:val="tx1"/>
            </w14:solidFill>
          </w14:textFill>
        </w:rPr>
        <w:t>赡养（抚养、扶养）费的认定：赡养（抚养、扶养）费收入原则上按赡养（抚养、扶养）法律文书所规定的数额计算;</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无明确规定的</w:t>
      </w:r>
      <w:r>
        <w:rPr>
          <w:rFonts w:hint="eastAsia" w:ascii="仿宋_GB2312" w:hAnsi="Calibri" w:eastAsia="仿宋_GB2312" w:cs="Calibri"/>
          <w:color w:val="000000" w:themeColor="text1"/>
          <w:kern w:val="0"/>
          <w:sz w:val="32"/>
          <w:szCs w:val="32"/>
          <w:u w:val="none"/>
          <w14:textFill>
            <w14:solidFill>
              <w14:schemeClr w14:val="tx1"/>
            </w14:solidFill>
          </w14:textFill>
        </w:rPr>
        <w:t>赡养（抚养、扶养）费按照每个法定人收入的5%计算。</w:t>
      </w:r>
      <w:r>
        <w:rPr>
          <w:rFonts w:hint="eastAsia" w:ascii="仿宋_GB2312" w:hAnsi="仿宋_GB2312" w:eastAsia="仿宋_GB2312" w:cs="仿宋_GB2312"/>
          <w:color w:val="000000" w:themeColor="text1"/>
          <w:sz w:val="32"/>
          <w:szCs w:val="32"/>
          <w:u w:val="none"/>
          <w14:textFill>
            <w14:solidFill>
              <w14:schemeClr w14:val="tx1"/>
            </w14:solidFill>
          </w14:textFill>
        </w:rPr>
        <w:t>赡养（扶养、抚养）</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义务人从事个体工商业、合作社经营、开办或投资企业的，名下拥有或正在使用车辆、拥有大型机械设备或两处以上房产并超出当地人均住房面积的</w:t>
      </w:r>
      <w:r>
        <w:rPr>
          <w:rFonts w:hint="eastAsia" w:ascii="仿宋_GB2312" w:hAnsi="仿宋_GB2312" w:eastAsia="仿宋_GB2312" w:cs="仿宋_GB2312"/>
          <w:color w:val="000000" w:themeColor="text1"/>
          <w:kern w:val="0"/>
          <w:sz w:val="32"/>
          <w:szCs w:val="32"/>
          <w14:textFill>
            <w14:solidFill>
              <w14:schemeClr w14:val="tx1"/>
            </w14:solidFill>
          </w14:textFill>
        </w:rPr>
        <w:t>（人均住房面积不超过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平方米</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，其</w:t>
      </w:r>
      <w:r>
        <w:rPr>
          <w:rFonts w:hint="eastAsia" w:ascii="仿宋_GB2312" w:hAnsi="仿宋_GB2312" w:eastAsia="仿宋_GB2312" w:cs="仿宋_GB2312"/>
          <w:color w:val="000000" w:themeColor="text1"/>
          <w:sz w:val="32"/>
          <w:szCs w:val="32"/>
          <w:u w:val="none"/>
          <w14:textFill>
            <w14:solidFill>
              <w14:schemeClr w14:val="tx1"/>
            </w14:solidFill>
          </w14:textFill>
        </w:rPr>
        <w:t>赡养（扶养、抚养）费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系数按其收入的8%计算。</w:t>
      </w:r>
    </w:p>
    <w:p w14:paraId="5A4CFAF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（1）年赡养（抚养、扶养）费</w:t>
      </w:r>
      <w:bookmarkStart w:id="3" w:name="_Hlk145508949"/>
      <w:r>
        <w:rPr>
          <w:rFonts w:hint="eastAsia" w:ascii="仿宋_GB2312" w:hAnsi="Calibri" w:eastAsia="仿宋_GB2312" w:cs="Calibri"/>
          <w:color w:val="000000" w:themeColor="text1"/>
          <w:kern w:val="0"/>
          <w:sz w:val="32"/>
          <w:szCs w:val="32"/>
          <w14:textFill>
            <w14:solidFill>
              <w14:schemeClr w14:val="tx1"/>
            </w14:solidFill>
          </w14:textFill>
        </w:rPr>
        <w:t>＝</w:t>
      </w:r>
      <w:bookmarkEnd w:id="3"/>
      <w:r>
        <w:rPr>
          <w:rFonts w:hint="eastAsia" w:ascii="仿宋_GB2312" w:hAnsi="Calibri" w:eastAsia="仿宋_GB2312" w:cs="Calibri"/>
          <w:color w:val="000000" w:themeColor="text1"/>
          <w:kern w:val="0"/>
          <w:sz w:val="32"/>
          <w:szCs w:val="32"/>
          <w14:textFill>
            <w14:solidFill>
              <w14:schemeClr w14:val="tx1"/>
            </w14:solidFill>
          </w14:textFill>
        </w:rPr>
        <w:t>赡养（抚养、扶养）义务人年收入总额</w:t>
      </w:r>
      <w:bookmarkStart w:id="4" w:name="_Hlk145509015"/>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5%</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bookmarkEnd w:id="4"/>
      <w:r>
        <w:rPr>
          <w:rFonts w:hint="eastAsia" w:ascii="仿宋_GB2312" w:hAnsi="Calibri" w:eastAsia="仿宋_GB2312" w:cs="Calibri"/>
          <w:color w:val="000000" w:themeColor="text1"/>
          <w:kern w:val="0"/>
          <w:sz w:val="32"/>
          <w:szCs w:val="32"/>
          <w14:textFill>
            <w14:solidFill>
              <w14:schemeClr w14:val="tx1"/>
            </w14:solidFill>
          </w14:textFill>
        </w:rPr>
        <w:t>×应赡养（抚养、扶养）人员个数</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30109B1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（2）父母申请低保认定时，所有子女应授权民政部门对其进行家庭经济状况核查，并按下列情况认定：</w:t>
      </w:r>
    </w:p>
    <w:p w14:paraId="33B7421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子女为行政事业单位或国有集体企业正式职工，付给</w:t>
      </w:r>
    </w:p>
    <w:p w14:paraId="1BBDCAD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父亲或母亲一方的年赡养费</w:t>
      </w:r>
      <w:bookmarkStart w:id="5" w:name="_Hlk145664897"/>
      <w:r>
        <w:rPr>
          <w:rFonts w:hint="eastAsia" w:ascii="仿宋_GB2312" w:hAnsi="Calibri" w:eastAsia="仿宋_GB2312" w:cs="Calibri"/>
          <w:color w:val="000000" w:themeColor="text1"/>
          <w:kern w:val="0"/>
          <w:sz w:val="32"/>
          <w:szCs w:val="32"/>
          <w14:textFill>
            <w14:solidFill>
              <w14:schemeClr w14:val="tx1"/>
            </w14:solidFill>
          </w14:textFill>
        </w:rPr>
        <w:t>＝年工资总额</w:t>
      </w:r>
      <w:bookmarkStart w:id="6" w:name="_Hlk145576147"/>
      <w:bookmarkStart w:id="7" w:name="_Hlk145576173"/>
      <w:r>
        <w:rPr>
          <w:rFonts w:hint="eastAsia" w:ascii="仿宋_GB2312" w:hAnsi="Calibri" w:eastAsia="仿宋_GB2312" w:cs="Calibri"/>
          <w:color w:val="000000" w:themeColor="text1"/>
          <w:kern w:val="0"/>
          <w:sz w:val="32"/>
          <w:szCs w:val="32"/>
          <w14:textFill>
            <w14:solidFill>
              <w14:schemeClr w14:val="tx1"/>
            </w14:solidFill>
          </w14:textFill>
        </w:rPr>
        <w:t>×</w:t>
      </w:r>
      <w:bookmarkEnd w:id="6"/>
      <w:r>
        <w:rPr>
          <w:rFonts w:hint="eastAsia" w:ascii="仿宋_GB2312" w:hAnsi="Calibri" w:eastAsia="仿宋_GB2312" w:cs="Calibri"/>
          <w:color w:val="000000" w:themeColor="text1"/>
          <w:kern w:val="0"/>
          <w:sz w:val="32"/>
          <w:szCs w:val="32"/>
          <w14:textFill>
            <w14:solidFill>
              <w14:schemeClr w14:val="tx1"/>
            </w14:solidFill>
          </w14:textFill>
        </w:rPr>
        <w:t>5%</w:t>
      </w:r>
      <w:bookmarkEnd w:id="5"/>
      <w:r>
        <w:rPr>
          <w:rFonts w:hint="eastAsia" w:ascii="仿宋_GB2312" w:hAnsi="Calibri" w:eastAsia="仿宋_GB2312" w:cs="Calibri"/>
          <w:color w:val="000000" w:themeColor="text1"/>
          <w:kern w:val="0"/>
          <w:sz w:val="32"/>
          <w:szCs w:val="32"/>
          <w14:textFill>
            <w14:solidFill>
              <w14:schemeClr w14:val="tx1"/>
            </w14:solidFill>
          </w14:textFill>
        </w:rPr>
        <w:t>；</w:t>
      </w:r>
      <w:bookmarkEnd w:id="7"/>
    </w:p>
    <w:p w14:paraId="6EBC467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居住在农村牧区从事农业生产经营或牧区无畜户子女，付给父亲或母亲一方的年赡养费=个人劳动力系数</w:t>
      </w:r>
      <w:bookmarkStart w:id="8" w:name="_Hlk145576240"/>
      <w:r>
        <w:rPr>
          <w:rFonts w:hint="eastAsia" w:ascii="仿宋_GB2312" w:hAnsi="Calibri" w:eastAsia="仿宋_GB2312" w:cs="Calibri"/>
          <w:color w:val="000000" w:themeColor="text1"/>
          <w:kern w:val="0"/>
          <w:sz w:val="32"/>
          <w:szCs w:val="32"/>
          <w14:textFill>
            <w14:solidFill>
              <w14:schemeClr w14:val="tx1"/>
            </w14:solidFill>
          </w14:textFill>
        </w:rPr>
        <w:t>×上年度本地区农牧民可支配收入×5%；</w:t>
      </w:r>
    </w:p>
    <w:bookmarkEnd w:id="8"/>
    <w:p w14:paraId="20F8CD0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无稳定收入的务工子女，付给父亲或母亲一方的年赡养费=个人劳动力系数×本年度打工地区月最低工资标准</w:t>
      </w:r>
      <w:bookmarkStart w:id="9" w:name="_Hlk145576287"/>
      <w:r>
        <w:rPr>
          <w:rFonts w:hint="eastAsia" w:ascii="仿宋_GB2312" w:hAnsi="Calibri" w:eastAsia="仿宋_GB2312" w:cs="Calibri"/>
          <w:color w:val="000000" w:themeColor="text1"/>
          <w:kern w:val="0"/>
          <w:sz w:val="32"/>
          <w:szCs w:val="32"/>
          <w14:textFill>
            <w14:solidFill>
              <w14:schemeClr w14:val="tx1"/>
            </w14:solidFill>
          </w14:textFill>
        </w:rPr>
        <w:t>×</w:t>
      </w:r>
      <w:bookmarkEnd w:id="9"/>
      <w:r>
        <w:rPr>
          <w:rFonts w:hint="eastAsia" w:ascii="仿宋_GB2312" w:hAnsi="Calibri" w:eastAsia="仿宋_GB2312" w:cs="Calibri"/>
          <w:color w:val="000000" w:themeColor="text1"/>
          <w:kern w:val="0"/>
          <w:sz w:val="32"/>
          <w:szCs w:val="32"/>
          <w14:textFill>
            <w14:solidFill>
              <w14:schemeClr w14:val="tx1"/>
            </w14:solidFill>
          </w14:textFill>
        </w:rPr>
        <w:t>8个月×5%；</w:t>
      </w:r>
    </w:p>
    <w:p w14:paraId="1C335D2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子女在农村牧区从事个体工商经营或合作社经营的，</w:t>
      </w:r>
      <w:bookmarkStart w:id="10" w:name="_Hlk145665287"/>
      <w:r>
        <w:rPr>
          <w:rFonts w:hint="eastAsia" w:ascii="仿宋_GB2312" w:hAnsi="Calibri" w:eastAsia="仿宋_GB2312" w:cs="Calibri"/>
          <w:color w:val="000000" w:themeColor="text1"/>
          <w:kern w:val="0"/>
          <w:sz w:val="32"/>
          <w:szCs w:val="32"/>
          <w14:textFill>
            <w14:solidFill>
              <w14:schemeClr w14:val="tx1"/>
            </w14:solidFill>
          </w14:textFill>
        </w:rPr>
        <w:t>付给父亲或母亲一方的年赡养费＝个人劳动力系数×上年度本地区农牧民人均可支配收入×</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w:t>
      </w:r>
    </w:p>
    <w:bookmarkEnd w:id="10"/>
    <w:p w14:paraId="5D2E604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子女在城镇从事个体工商经营的，付给父亲或母亲一方的年赡养费＝个人劳动力系数×</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本</w:t>
      </w:r>
      <w:r>
        <w:rPr>
          <w:rFonts w:hint="eastAsia" w:ascii="仿宋_GB2312" w:hAnsi="Calibri" w:eastAsia="仿宋_GB2312" w:cs="Calibri"/>
          <w:color w:val="000000" w:themeColor="text1"/>
          <w:kern w:val="0"/>
          <w:sz w:val="32"/>
          <w:szCs w:val="32"/>
          <w14:textFill>
            <w14:solidFill>
              <w14:schemeClr w14:val="tx1"/>
            </w14:solidFill>
          </w14:textFill>
        </w:rPr>
        <w:t>年度本地区最低月工资标准</w:t>
      </w:r>
      <w:bookmarkStart w:id="11" w:name="_Hlk145665357"/>
      <w:r>
        <w:rPr>
          <w:rFonts w:hint="eastAsia" w:ascii="仿宋_GB2312" w:hAnsi="Calibri" w:eastAsia="仿宋_GB2312" w:cs="Calibri"/>
          <w:color w:val="000000" w:themeColor="text1"/>
          <w:kern w:val="0"/>
          <w:sz w:val="32"/>
          <w:szCs w:val="32"/>
          <w14:textFill>
            <w14:solidFill>
              <w14:schemeClr w14:val="tx1"/>
            </w14:solidFill>
          </w14:textFill>
        </w:rPr>
        <w:t>×</w:t>
      </w:r>
      <w:bookmarkEnd w:id="11"/>
      <w:r>
        <w:rPr>
          <w:rFonts w:hint="eastAsia" w:ascii="仿宋_GB2312" w:hAnsi="Calibri" w:eastAsia="仿宋_GB2312" w:cs="Calibri"/>
          <w:color w:val="000000" w:themeColor="text1"/>
          <w:kern w:val="0"/>
          <w:sz w:val="32"/>
          <w:szCs w:val="32"/>
          <w14:textFill>
            <w14:solidFill>
              <w14:schemeClr w14:val="tx1"/>
            </w14:solidFill>
          </w14:textFill>
        </w:rPr>
        <w:t>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个月×</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w:t>
      </w:r>
    </w:p>
    <w:p w14:paraId="7607244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b w:val="0"/>
          <w:bCs w:val="0"/>
          <w:color w:val="000000" w:themeColor="text1"/>
          <w:kern w:val="0"/>
          <w:sz w:val="32"/>
          <w:szCs w:val="32"/>
          <w:u w:val="none"/>
          <w:lang w:val="en-US" w:eastAsia="zh-CN"/>
          <w14:textFill>
            <w14:solidFill>
              <w14:schemeClr w14:val="tx1"/>
            </w14:solidFill>
          </w14:textFill>
        </w:rPr>
      </w:pPr>
      <w:r>
        <w:rPr>
          <w:rFonts w:hint="eastAsia" w:ascii="仿宋_GB2312" w:hAnsi="Calibri" w:eastAsia="仿宋_GB2312" w:cs="Calibri"/>
          <w:b w:val="0"/>
          <w:bCs w:val="0"/>
          <w:color w:val="000000" w:themeColor="text1"/>
          <w:kern w:val="0"/>
          <w:sz w:val="32"/>
          <w:szCs w:val="32"/>
          <w:u w:val="none"/>
          <w:lang w:val="en-US" w:eastAsia="zh-CN"/>
          <w14:textFill>
            <w14:solidFill>
              <w14:schemeClr w14:val="tx1"/>
            </w14:solidFill>
          </w14:textFill>
        </w:rPr>
        <w:t>子女名下开办或者投资企业的，</w:t>
      </w:r>
      <w:r>
        <w:rPr>
          <w:rFonts w:hint="eastAsia" w:ascii="仿宋_GB2312" w:hAnsi="Calibri" w:eastAsia="仿宋_GB2312" w:cs="Calibri"/>
          <w:color w:val="000000" w:themeColor="text1"/>
          <w:kern w:val="0"/>
          <w:sz w:val="32"/>
          <w:szCs w:val="32"/>
          <w14:textFill>
            <w14:solidFill>
              <w14:schemeClr w14:val="tx1"/>
            </w14:solidFill>
          </w14:textFill>
        </w:rPr>
        <w:t>付给父亲或母亲一方的年赡养费＝</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本人年收入</w:t>
      </w:r>
      <w:r>
        <w:rPr>
          <w:rFonts w:hint="eastAsia" w:ascii="仿宋_GB2312" w:hAnsi="Calibri" w:eastAsia="仿宋_GB2312" w:cs="Calibri"/>
          <w:color w:val="000000" w:themeColor="text1"/>
          <w:kern w:val="0"/>
          <w:sz w:val="32"/>
          <w:szCs w:val="32"/>
          <w14:textFill>
            <w14:solidFill>
              <w14:schemeClr w14:val="tx1"/>
            </w14:solidFill>
          </w14:textFill>
        </w:rPr>
        <w:t>×</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40AAE2A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同一个子女，上述收入项目重复的，应累计计算收入和赡养费，实际给付额高于上述计算标准的，按实际给付额计算；实际给付额低于上述标准的，按上述标准计算。</w:t>
      </w:r>
    </w:p>
    <w:p w14:paraId="4CC35EA7">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对于离异家庭子女的抚养费用，法律文书中明确的，按法律文书执行。无法律文书的，抚养费按其个人月总收入的2</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%给付；负担两个以上子女抚养费的，比例可适当提高，但一般不超过月总收入的5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62A76F5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（4）对于赡养（抚养、扶养）义务人属于</w:t>
      </w:r>
      <w:r>
        <w:rPr>
          <w:rFonts w:hint="eastAsia" w:ascii="仿宋_GB2312" w:hAnsi="Calibri" w:eastAsia="仿宋_GB2312" w:cs="Calibri"/>
          <w:color w:val="000000" w:themeColor="text1"/>
          <w:kern w:val="0"/>
          <w:sz w:val="32"/>
          <w:szCs w:val="32"/>
          <w14:textFill>
            <w14:solidFill>
              <w14:schemeClr w14:val="tx1"/>
            </w14:solidFill>
          </w14:textFill>
        </w:rPr>
        <w:t>特困人员</w:t>
      </w:r>
      <w:r>
        <w:rPr>
          <w:rFonts w:hint="eastAsia" w:ascii="仿宋_GB2312" w:hAnsi="Calibri" w:eastAsia="仿宋_GB2312" w:cs="Calibri"/>
          <w:color w:val="000000" w:themeColor="text1"/>
          <w:kern w:val="0"/>
          <w:sz w:val="32"/>
          <w:szCs w:val="32"/>
          <w14:textFill>
            <w14:solidFill>
              <w14:schemeClr w14:val="tx1"/>
            </w14:solidFill>
          </w14:textFill>
        </w:rPr>
        <w:t>、低保对象、现役军人（指两年义务兵）、连续三年以上（含三年）脱离家庭独立生活的宗教教职人员、服刑人员</w:t>
      </w:r>
      <w:r>
        <w:rPr>
          <w:rFonts w:hint="eastAsia" w:ascii="仿宋_GB2312" w:hAnsi="Calibri" w:eastAsia="仿宋_GB2312" w:cs="Calibri"/>
          <w:color w:val="000000" w:themeColor="text1"/>
          <w:kern w:val="0"/>
          <w:sz w:val="32"/>
          <w:szCs w:val="32"/>
          <w14:textFill>
            <w14:solidFill>
              <w14:schemeClr w14:val="tx1"/>
            </w14:solidFill>
          </w14:textFill>
        </w:rPr>
        <w:t>（含保外就医、监外执行）、强制戒毒人员、本科、专科和中高等职业教育的在校学生</w:t>
      </w:r>
      <w:r>
        <w:rPr>
          <w:rFonts w:hint="eastAsia" w:ascii="仿宋_GB2312" w:hAnsi="Calibri" w:eastAsia="仿宋_GB2312" w:cs="Calibri"/>
          <w:color w:val="000000" w:themeColor="text1"/>
          <w:kern w:val="0"/>
          <w:sz w:val="32"/>
          <w:szCs w:val="32"/>
          <w14:textFill>
            <w14:solidFill>
              <w14:schemeClr w14:val="tx1"/>
            </w14:solidFill>
          </w14:textFill>
        </w:rPr>
        <w:t>、赡养（抚养、扶养）义务人长期共同生活的家庭成员中目前患有重特大疾病、</w:t>
      </w:r>
      <w:r>
        <w:rPr>
          <w:rFonts w:hint="eastAsia" w:ascii="仿宋_GB2312" w:hAnsi="Calibri" w:eastAsia="仿宋_GB2312" w:cs="Calibri"/>
          <w:color w:val="000000" w:themeColor="text1"/>
          <w:kern w:val="0"/>
          <w:sz w:val="32"/>
          <w:szCs w:val="32"/>
          <w14:textFill>
            <w14:solidFill>
              <w14:schemeClr w14:val="tx1"/>
            </w14:solidFill>
          </w14:textFill>
        </w:rPr>
        <w:t>重度残疾（含智力、精神残疾三级）</w:t>
      </w:r>
      <w:r>
        <w:rPr>
          <w:rFonts w:hint="eastAsia" w:ascii="仿宋_GB2312" w:hAnsi="Calibri" w:eastAsia="仿宋_GB2312" w:cs="Calibri"/>
          <w:color w:val="000000" w:themeColor="text1"/>
          <w:kern w:val="0"/>
          <w:sz w:val="32"/>
          <w:szCs w:val="32"/>
          <w14:textFill>
            <w14:solidFill>
              <w14:schemeClr w14:val="tx1"/>
            </w14:solidFill>
          </w14:textFill>
        </w:rPr>
        <w:t>、未婚大学生毕业后未就业期间（最长1年）在计算转移净收入时不计入该赡养（抚养、扶养）义务人的赡养（抚养、扶养）费</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1013783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（5）赡养（抚养、扶养）义务人家庭为低保边缘家庭的，视为有部分赡养（抚养、扶养）能力，按应付赡养（抚养、扶养）费的5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1469F6C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（6）</w:t>
      </w:r>
      <w:bookmarkStart w:id="12" w:name="_Hlk145665593"/>
      <w:r>
        <w:rPr>
          <w:rFonts w:hint="eastAsia" w:ascii="仿宋_GB2312" w:hAnsi="Calibri" w:eastAsia="仿宋_GB2312" w:cs="Calibri"/>
          <w:color w:val="000000" w:themeColor="text1"/>
          <w:kern w:val="0"/>
          <w:sz w:val="32"/>
          <w:szCs w:val="32"/>
          <w14:textFill>
            <w14:solidFill>
              <w14:schemeClr w14:val="tx1"/>
            </w14:solidFill>
          </w14:textFill>
        </w:rPr>
        <w:t>赡养（抚养、扶养）</w:t>
      </w:r>
      <w:bookmarkEnd w:id="12"/>
      <w:r>
        <w:rPr>
          <w:rFonts w:hint="eastAsia" w:ascii="仿宋_GB2312" w:hAnsi="Calibri" w:eastAsia="仿宋_GB2312" w:cs="Calibri"/>
          <w:color w:val="000000" w:themeColor="text1"/>
          <w:kern w:val="0"/>
          <w:sz w:val="32"/>
          <w:szCs w:val="32"/>
          <w14:textFill>
            <w14:solidFill>
              <w14:schemeClr w14:val="tx1"/>
            </w14:solidFill>
          </w14:textFill>
        </w:rPr>
        <w:t>义务人年龄为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6</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周岁</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及</w:t>
      </w:r>
      <w:r>
        <w:rPr>
          <w:rFonts w:hint="eastAsia" w:ascii="仿宋_GB2312" w:hAnsi="Calibri" w:eastAsia="仿宋_GB2312" w:cs="Calibri"/>
          <w:color w:val="000000" w:themeColor="text1"/>
          <w:kern w:val="0"/>
          <w:sz w:val="32"/>
          <w:szCs w:val="32"/>
          <w14:textFill>
            <w14:solidFill>
              <w14:schemeClr w14:val="tx1"/>
            </w14:solidFill>
          </w14:textFill>
        </w:rPr>
        <w:t>以上的，赡养（抚养、扶养）费按其收入的1%计算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21BD479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（7）依靠兄弟姐妹或者60周岁及以上老年人供养的成年无业重度残疾人，</w:t>
      </w:r>
      <w:r>
        <w:rPr>
          <w:rFonts w:hint="eastAsia" w:ascii="仿宋_GB2312" w:hAnsi="Calibri" w:eastAsia="仿宋_GB2312" w:cs="Calibri"/>
          <w:color w:val="000000" w:themeColor="text1"/>
          <w:kern w:val="0"/>
          <w:sz w:val="32"/>
          <w:szCs w:val="32"/>
          <w14:textFill>
            <w14:solidFill>
              <w14:schemeClr w14:val="tx1"/>
            </w14:solidFill>
          </w14:textFill>
        </w:rPr>
        <w:t>兄弟姐妹或6</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周岁</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及</w:t>
      </w:r>
      <w:r>
        <w:rPr>
          <w:rFonts w:hint="eastAsia" w:ascii="仿宋_GB2312" w:hAnsi="Calibri" w:eastAsia="仿宋_GB2312" w:cs="Calibri"/>
          <w:color w:val="000000" w:themeColor="text1"/>
          <w:kern w:val="0"/>
          <w:sz w:val="32"/>
          <w:szCs w:val="32"/>
          <w14:textFill>
            <w14:solidFill>
              <w14:schemeClr w14:val="tx1"/>
            </w14:solidFill>
          </w14:textFill>
        </w:rPr>
        <w:t>以上</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老年人给付的供养费用</w:t>
      </w:r>
      <w:r>
        <w:rPr>
          <w:rFonts w:hint="eastAsia" w:ascii="仿宋_GB2312" w:hAnsi="Calibri" w:eastAsia="仿宋_GB2312" w:cs="Calibri"/>
          <w:color w:val="000000" w:themeColor="text1"/>
          <w:kern w:val="0"/>
          <w:sz w:val="32"/>
          <w:szCs w:val="32"/>
          <w14:textFill>
            <w14:solidFill>
              <w14:schemeClr w14:val="tx1"/>
            </w14:solidFill>
          </w14:textFill>
        </w:rPr>
        <w:t>按应付</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供养</w:t>
      </w:r>
      <w:r>
        <w:rPr>
          <w:rFonts w:hint="eastAsia" w:ascii="仿宋_GB2312" w:hAnsi="Calibri" w:eastAsia="仿宋_GB2312" w:cs="Calibri"/>
          <w:color w:val="000000" w:themeColor="text1"/>
          <w:kern w:val="0"/>
          <w:sz w:val="32"/>
          <w:szCs w:val="32"/>
          <w14:textFill>
            <w14:solidFill>
              <w14:schemeClr w14:val="tx1"/>
            </w14:solidFill>
          </w14:textFill>
        </w:rPr>
        <w:t>费的7</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3775F5C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赔偿收入的认定：因交通事故、刑事被害、民事损害等原因有赔偿收入的，按照法律文书所列用于补偿其生活费用的部分，认定其为收入。</w:t>
      </w:r>
    </w:p>
    <w:p w14:paraId="750E716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3</w:t>
      </w:r>
      <w:r>
        <w:rPr>
          <w:rFonts w:ascii="仿宋_GB2312" w:hAnsi="Calibri" w:eastAsia="仿宋_GB2312" w:cs="Calibri"/>
          <w:color w:val="000000" w:themeColor="text1"/>
          <w:kern w:val="0"/>
          <w:sz w:val="32"/>
          <w:szCs w:val="32"/>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接受遗产收入、接受捐赠（赠送）收入的认定：由公证部门公证过的遗产、捐赠</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按公证书认定值核定；无公证的遗产、捐赠等，根据评估值确定。</w:t>
      </w:r>
    </w:p>
    <w:p w14:paraId="326F58D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（五）其他应当计入家庭收入的项目。</w:t>
      </w:r>
    </w:p>
    <w:p w14:paraId="25C8B6B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申请人申报收入高于民政部门计算结果的，以申报收入为准。</w:t>
      </w:r>
    </w:p>
    <w:p w14:paraId="22F13DD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第十六条</w:t>
      </w:r>
      <w:r>
        <w:rPr>
          <w:rFonts w:hint="eastAsia" w:ascii="仿宋_GB2312" w:hAnsi="Calibri" w:eastAsia="仿宋_GB2312" w:cs="Calibri"/>
          <w:color w:val="000000" w:themeColor="text1"/>
          <w:kern w:val="0"/>
          <w:sz w:val="32"/>
          <w:szCs w:val="32"/>
          <w14:textFill>
            <w14:solidFill>
              <w14:schemeClr w14:val="tx1"/>
            </w14:solidFill>
          </w14:textFill>
        </w:rPr>
        <w:t>  下列收入不计入家庭收入：</w:t>
      </w:r>
    </w:p>
    <w:p w14:paraId="375C441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国家规定的优待抚恤金、补助金；义务兵家庭领取的优待金；自主择业的退役士兵领取的地方经济补助金；计划生育奖励与扶助金以及见义勇为等奖励性补助；</w:t>
      </w:r>
    </w:p>
    <w:p w14:paraId="4544795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（二）政府发放的各类社会救助款物；</w:t>
      </w:r>
    </w:p>
    <w:p w14:paraId="4EA6BA0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（三）“十四五”期间，包头市确定的城乡居民基本养老保险基础养老金；</w:t>
      </w:r>
    </w:p>
    <w:p w14:paraId="135B1CE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（四）困难在校生的救助金、生活补贴和在校学生获得的奖学金、助学贷款；</w:t>
      </w:r>
    </w:p>
    <w:p w14:paraId="172B453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（五）困难残疾人生活补贴和重度残疾人护理补贴；</w:t>
      </w:r>
    </w:p>
    <w:p w14:paraId="1DC6FEF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（六）经济困难老年人养老服务补贴、生活不能自理经济困难老年人护理补贴；</w:t>
      </w:r>
    </w:p>
    <w:p w14:paraId="5367107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（七）高龄津贴；</w:t>
      </w:r>
    </w:p>
    <w:p w14:paraId="6ED0D84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（八）因劳动合同解除或者终止，劳动者按照国家法律法规规定所获得的经济补偿中缴纳各种社会保险部分；</w:t>
      </w:r>
    </w:p>
    <w:p w14:paraId="28576E6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（九）职工因工伤依法享受的一次性伤残补助金、工伤医疗补助金和伤残就业补助金；</w:t>
      </w:r>
    </w:p>
    <w:p w14:paraId="5BA6440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（十）非共同生活的非法定赡养（抚养、扶养）人给付的赡养（抚养、扶养）费；</w:t>
      </w:r>
    </w:p>
    <w:p w14:paraId="4D53453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（十一）企业特殊工种营养补助费、高温清凉补助费；</w:t>
      </w:r>
    </w:p>
    <w:p w14:paraId="22BE744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（十二）政府或单位给予退休人员的节日慰问金；</w:t>
      </w:r>
    </w:p>
    <w:p w14:paraId="1CB9DEF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（十三）灵活就业补助和社会保险费补助；</w:t>
      </w:r>
    </w:p>
    <w:p w14:paraId="7E0AFC4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（十四）按照《住房拆迁协议》规定所获得的搬家补助、临时按照补助费；</w:t>
      </w:r>
    </w:p>
    <w:p w14:paraId="454880D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（十五）丧葬费和一次性抚恤金；</w:t>
      </w:r>
    </w:p>
    <w:p w14:paraId="2BCB8AD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（十六）人身伤害赔偿中生活费以外的部分；</w:t>
      </w:r>
    </w:p>
    <w:p w14:paraId="303AD1D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5"/>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（十七）</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旗县区</w:t>
      </w:r>
      <w:r>
        <w:rPr>
          <w:rFonts w:hint="eastAsia" w:ascii="仿宋_GB2312" w:hAnsi="Calibri" w:eastAsia="仿宋_GB2312" w:cs="Calibri"/>
          <w:color w:val="000000" w:themeColor="text1"/>
          <w:kern w:val="0"/>
          <w:sz w:val="32"/>
          <w:szCs w:val="32"/>
          <w14:textFill>
            <w14:solidFill>
              <w14:schemeClr w14:val="tx1"/>
            </w14:solidFill>
          </w14:textFill>
        </w:rPr>
        <w:t>人民政府规定的其他特殊收入。</w:t>
      </w:r>
    </w:p>
    <w:p w14:paraId="637555D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第十七条</w:t>
      </w:r>
      <w:r>
        <w:rPr>
          <w:rFonts w:hint="eastAsia" w:ascii="仿宋_GB2312" w:hAnsi="Calibri" w:eastAsia="仿宋_GB2312" w:cs="Calibri"/>
          <w:color w:val="000000" w:themeColor="text1"/>
          <w:kern w:val="0"/>
          <w:sz w:val="32"/>
          <w:szCs w:val="32"/>
          <w14:textFill>
            <w14:solidFill>
              <w14:schemeClr w14:val="tx1"/>
            </w14:solidFill>
          </w14:textFill>
        </w:rPr>
        <w:t>  刚性支出核算。刚性支出主要指自低保申请前12个月内，共同生活的家庭成员因残疾、患病、教育、租房、就业等原因形成的必需性基本支出，在核算家庭收入时按规定适当扣减。刚性支出的核算按照以下规定执行：</w:t>
      </w:r>
    </w:p>
    <w:p w14:paraId="6CA7627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（一）残疾人康复费用支出。共同生活家庭成员中的残疾人用于康复治疗及购买必要的辅助器具等费用，扣除政府补助、慈善救助和商业保险补偿部分后个人实际自负费用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79E9112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（二）医疗费用支出。共同生活的家庭成员因病住院，扣除按规定享受的基本医疗保险、大病保险、补充医疗保险、其他商业保险等保险和社会帮扶后的个人实际自</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负</w:t>
      </w:r>
      <w:r>
        <w:rPr>
          <w:rFonts w:hint="eastAsia" w:ascii="仿宋_GB2312" w:hAnsi="Calibri" w:eastAsia="仿宋_GB2312" w:cs="Calibri"/>
          <w:color w:val="000000" w:themeColor="text1"/>
          <w:kern w:val="0"/>
          <w:sz w:val="32"/>
          <w:szCs w:val="32"/>
          <w14:textFill>
            <w14:solidFill>
              <w14:schemeClr w14:val="tx1"/>
            </w14:solidFill>
          </w14:textFill>
        </w:rPr>
        <w:t>费用，凭借有效凭证确定扣减金额；</w:t>
      </w:r>
      <w:r>
        <w:rPr>
          <w:rFonts w:hint="eastAsia" w:ascii="仿宋_GB2312" w:hAnsi="Calibri" w:eastAsia="仿宋_GB2312" w:cs="Calibri"/>
          <w:color w:val="000000" w:themeColor="text1"/>
          <w:kern w:val="0"/>
          <w:sz w:val="32"/>
          <w:szCs w:val="32"/>
          <w14:textFill>
            <w14:solidFill>
              <w14:schemeClr w14:val="tx1"/>
            </w14:solidFill>
          </w14:textFill>
        </w:rPr>
        <w:t>因慢性病、疑难疾病等长期服用中草药、民间就医或</w:t>
      </w:r>
      <w:r>
        <w:rPr>
          <w:rFonts w:hint="eastAsia" w:ascii="仿宋_GB2312" w:hAnsi="Calibri" w:eastAsia="仿宋_GB2312" w:cs="Calibri"/>
          <w:color w:val="000000" w:themeColor="text1"/>
          <w:kern w:val="0"/>
          <w:sz w:val="32"/>
          <w:szCs w:val="32"/>
          <w:u w:val="none"/>
          <w14:textFill>
            <w14:solidFill>
              <w14:schemeClr w14:val="tx1"/>
            </w14:solidFill>
          </w14:textFill>
        </w:rPr>
        <w:t>门诊</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就医</w:t>
      </w:r>
      <w:r>
        <w:rPr>
          <w:rFonts w:hint="eastAsia" w:ascii="仿宋_GB2312" w:hAnsi="Calibri" w:eastAsia="仿宋_GB2312" w:cs="Calibri"/>
          <w:color w:val="000000" w:themeColor="text1"/>
          <w:kern w:val="0"/>
          <w:sz w:val="32"/>
          <w:szCs w:val="32"/>
          <w14:textFill>
            <w14:solidFill>
              <w14:schemeClr w14:val="tx1"/>
            </w14:solidFill>
          </w14:textFill>
        </w:rPr>
        <w:t>的费用，可以凭借有效凭证确定或根据慢性病、疑难疾病病种规定扣减金额</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 xml:space="preserve">   </w:t>
      </w:r>
    </w:p>
    <w:p w14:paraId="32941A2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有第三方责任人的交通事故、刑事案件、非因精神疾病导致的自残行为、吸毒等产生的医疗费用不列入扣减范围。</w:t>
      </w:r>
    </w:p>
    <w:p w14:paraId="772379C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重特大疾病因特殊原因不能报销医药费的，需提供旗县区认定的医疗机构的病例、诊断（或检查报告）及医药费原件，按医药费总额的5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%扣减</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04C42DE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（三）教育费用支出。在校高中生每人每年按3</w:t>
      </w:r>
      <w:r>
        <w:rPr>
          <w:rFonts w:ascii="仿宋_GB2312" w:hAnsi="Calibri" w:eastAsia="仿宋_GB2312" w:cs="Calibri"/>
          <w:color w:val="000000" w:themeColor="text1"/>
          <w:kern w:val="0"/>
          <w:sz w:val="32"/>
          <w:szCs w:val="32"/>
          <w14:textFill>
            <w14:solidFill>
              <w14:schemeClr w14:val="tx1"/>
            </w14:solidFill>
          </w14:textFill>
        </w:rPr>
        <w:t>600</w:t>
      </w:r>
      <w:r>
        <w:rPr>
          <w:rFonts w:hint="eastAsia" w:ascii="仿宋_GB2312" w:hAnsi="Calibri" w:eastAsia="仿宋_GB2312" w:cs="Calibri"/>
          <w:color w:val="000000" w:themeColor="text1"/>
          <w:kern w:val="0"/>
          <w:sz w:val="32"/>
          <w:szCs w:val="32"/>
          <w14:textFill>
            <w14:solidFill>
              <w14:schemeClr w14:val="tx1"/>
            </w14:solidFill>
          </w14:textFill>
        </w:rPr>
        <w:t>元扣减家庭核算收入，在校大学生每人每年按6</w:t>
      </w:r>
      <w:r>
        <w:rPr>
          <w:rFonts w:ascii="仿宋_GB2312" w:hAnsi="Calibri" w:eastAsia="仿宋_GB2312" w:cs="Calibri"/>
          <w:color w:val="000000" w:themeColor="text1"/>
          <w:kern w:val="0"/>
          <w:sz w:val="32"/>
          <w:szCs w:val="32"/>
          <w14:textFill>
            <w14:solidFill>
              <w14:schemeClr w14:val="tx1"/>
            </w14:solidFill>
          </w14:textFill>
        </w:rPr>
        <w:t>000</w:t>
      </w:r>
      <w:r>
        <w:rPr>
          <w:rFonts w:hint="eastAsia" w:ascii="仿宋_GB2312" w:hAnsi="Calibri" w:eastAsia="仿宋_GB2312" w:cs="Calibri"/>
          <w:color w:val="000000" w:themeColor="text1"/>
          <w:kern w:val="0"/>
          <w:sz w:val="32"/>
          <w:szCs w:val="32"/>
          <w14:textFill>
            <w14:solidFill>
              <w14:schemeClr w14:val="tx1"/>
            </w14:solidFill>
          </w14:textFill>
        </w:rPr>
        <w:t>元扣减家庭核算收入</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6A06B8F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u w:val="none"/>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（四）照料支出。照料重度残疾人、重病人员、失能失智老年人和0-3周岁(含)婴幼儿的费用支出，</w:t>
      </w:r>
      <w:r>
        <w:rPr>
          <w:rFonts w:hint="eastAsia" w:ascii="仿宋_GB2312" w:hAnsi="Calibri" w:eastAsia="仿宋_GB2312" w:cs="Calibri"/>
          <w:color w:val="000000" w:themeColor="text1"/>
          <w:kern w:val="0"/>
          <w:sz w:val="32"/>
          <w:szCs w:val="32"/>
          <w:u w:val="none"/>
          <w14:textFill>
            <w14:solidFill>
              <w14:schemeClr w14:val="tx1"/>
            </w14:solidFill>
          </w14:textFill>
        </w:rPr>
        <w:t>根据实际适度扣减</w:t>
      </w:r>
      <w:r>
        <w:rPr>
          <w:rFonts w:hint="eastAsia" w:ascii="仿宋_GB2312" w:hAnsi="Calibri" w:eastAsia="仿宋_GB2312" w:cs="Calibri"/>
          <w:color w:val="000000" w:themeColor="text1"/>
          <w:kern w:val="0"/>
          <w:sz w:val="32"/>
          <w:szCs w:val="32"/>
          <w:u w:val="none"/>
          <w:lang w:eastAsia="zh-CN"/>
          <w14:textFill>
            <w14:solidFill>
              <w14:schemeClr w14:val="tx1"/>
            </w14:solidFill>
          </w14:textFill>
        </w:rPr>
        <w:t>；</w:t>
      </w:r>
    </w:p>
    <w:p w14:paraId="192A868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（五）租赁住房费用支出。为维持基本居住条件在当地租赁住房，扣除住房租赁补贴后的个人实际自负</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租赁</w:t>
      </w:r>
      <w:r>
        <w:rPr>
          <w:rFonts w:hint="eastAsia" w:ascii="仿宋_GB2312" w:hAnsi="Calibri" w:eastAsia="仿宋_GB2312" w:cs="Calibri"/>
          <w:color w:val="000000" w:themeColor="text1"/>
          <w:kern w:val="0"/>
          <w:sz w:val="32"/>
          <w:szCs w:val="32"/>
          <w14:textFill>
            <w14:solidFill>
              <w14:schemeClr w14:val="tx1"/>
            </w14:solidFill>
          </w14:textFill>
        </w:rPr>
        <w:t>费用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2D02C28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（六）因灾、因意外事故费用支出。共同生活的家庭成员因交通事故、火灾、爆炸、溺水、人身伤害等意外事件,造成家庭财产重大损失或人员伤亡,扣除各种赔偿、保险、社会帮扶资金后,个人负担的费用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5A86910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（七）就业成本支出。共同生活的家庭成员已就业的,按当地最低工资标准的1</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%扣减就业成本</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347F879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pPr>
      <w:r>
        <w:rPr>
          <w:rFonts w:hint="eastAsia" w:ascii="仿宋_GB2312" w:hAnsi="Calibri" w:eastAsia="仿宋_GB2312" w:cs="Calibri"/>
          <w:color w:val="000000" w:themeColor="text1"/>
          <w:kern w:val="0"/>
          <w:sz w:val="32"/>
          <w:szCs w:val="32"/>
          <w:u w:val="none"/>
          <w14:textFill>
            <w14:solidFill>
              <w14:schemeClr w14:val="tx1"/>
            </w14:solidFill>
          </w14:textFill>
        </w:rPr>
        <w:t>（八）社会保障</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性支出</w:t>
      </w:r>
      <w:r>
        <w:rPr>
          <w:rFonts w:hint="eastAsia" w:ascii="仿宋_GB2312" w:hAnsi="Calibri" w:eastAsia="仿宋_GB2312" w:cs="Calibri"/>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指</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家庭成员个人缴纳的社会保险费</w:t>
      </w:r>
      <w:r>
        <w:rPr>
          <w:rFonts w:hint="eastAsia" w:ascii="仿宋_GB2312" w:hAnsi="仿宋_GB2312" w:eastAsia="仿宋_GB2312" w:cs="仿宋_GB2312"/>
          <w:color w:val="000000" w:themeColor="text1"/>
          <w:sz w:val="32"/>
          <w:szCs w:val="32"/>
          <w:highlight w:val="none"/>
          <w:u w:val="none" w:color="auto"/>
          <w:vertAlign w:val="baseline"/>
          <w:lang w:eastAsia="zh-CN"/>
          <w14:textFill>
            <w14:solidFill>
              <w14:schemeClr w14:val="tx1"/>
            </w14:solidFill>
          </w14:textFill>
        </w:rPr>
        <w:t>（国家规定的基础保险线，超出基础部分除外）、住房公积金</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个人所得税支出。个人缴纳的社会保险费，包括城镇职工养老保险费、城镇职工基本医疗保险费、失业保险费、生育保险费和城</w:t>
      </w:r>
      <w:r>
        <w:rPr>
          <w:rFonts w:hint="eastAsia" w:ascii="仿宋_GB2312" w:hAnsi="仿宋_GB2312" w:eastAsia="仿宋_GB2312" w:cs="仿宋_GB2312"/>
          <w:color w:val="000000" w:themeColor="text1"/>
          <w:sz w:val="32"/>
          <w:szCs w:val="32"/>
          <w:u w:val="none" w:color="auto"/>
          <w:vertAlign w:val="baseline"/>
          <w:lang w:val="en-US" w:eastAsia="zh-CN"/>
          <w14:textFill>
            <w14:solidFill>
              <w14:schemeClr w14:val="tx1"/>
            </w14:solidFill>
          </w14:textFill>
        </w:rPr>
        <w:t>乡</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居民养老保险费、居民医疗保险费；</w:t>
      </w:r>
    </w:p>
    <w:p w14:paraId="5B30D00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Cs w:val="21"/>
          <w:u w:val="single"/>
          <w:lang w:eastAsia="zh-CN"/>
          <w14:textFill>
            <w14:solidFill>
              <w14:schemeClr w14:val="tx1"/>
            </w14:solidFill>
          </w14:textFill>
        </w:rPr>
      </w:pPr>
      <w:r>
        <w:rPr>
          <w:rFonts w:hint="eastAsia" w:ascii="仿宋_GB2312" w:hAnsi="Calibri" w:eastAsia="仿宋_GB2312" w:cs="Calibri"/>
          <w:color w:val="000000" w:themeColor="text1"/>
          <w:kern w:val="0"/>
          <w:sz w:val="32"/>
          <w:szCs w:val="32"/>
          <w:u w:val="none"/>
          <w14:textFill>
            <w14:solidFill>
              <w14:schemeClr w14:val="tx1"/>
            </w14:solidFill>
          </w14:textFill>
        </w:rPr>
        <w:t>（九）旗县区人民政府认定的其他刚性支出费用</w:t>
      </w:r>
      <w:r>
        <w:rPr>
          <w:rFonts w:hint="eastAsia" w:ascii="仿宋_GB2312" w:hAnsi="Calibri" w:eastAsia="仿宋_GB2312" w:cs="Calibri"/>
          <w:color w:val="000000" w:themeColor="text1"/>
          <w:kern w:val="0"/>
          <w:sz w:val="32"/>
          <w:szCs w:val="32"/>
          <w:u w:val="none"/>
          <w:lang w:eastAsia="zh-CN"/>
          <w14:textFill>
            <w14:solidFill>
              <w14:schemeClr w14:val="tx1"/>
            </w14:solidFill>
          </w14:textFill>
        </w:rPr>
        <w:t>。</w:t>
      </w:r>
    </w:p>
    <w:p w14:paraId="7847672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第十八条</w:t>
      </w:r>
      <w:r>
        <w:rPr>
          <w:rFonts w:hint="eastAsia" w:ascii="仿宋_GB2312" w:hAnsi="Calibri" w:eastAsia="仿宋_GB2312" w:cs="Calibri"/>
          <w:color w:val="000000" w:themeColor="text1"/>
          <w:kern w:val="0"/>
          <w:sz w:val="32"/>
          <w:szCs w:val="32"/>
          <w14:textFill>
            <w14:solidFill>
              <w14:schemeClr w14:val="tx1"/>
            </w14:solidFill>
          </w14:textFill>
        </w:rPr>
        <w:t>  特殊困难家庭收入核减。对因重病重残完全丧失劳动能力的家庭、多重残疾或一户多残家庭、一户多病家庭、有未成年人的丧偶单亲家庭、一方服刑或失踪的单亲家庭，有70周岁以上老年人的家庭、有哺乳期妇女家庭等特殊困难家庭，可以根据实际困难情况对其家庭收入适度核减。</w:t>
      </w:r>
    </w:p>
    <w:p w14:paraId="2514555D">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重病或重残人员住院期间及出院后6个月内，</w:t>
      </w:r>
    </w:p>
    <w:p w14:paraId="79AEA0D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因照顾重病或重残人员而不能正常工作的家庭成员劳动力系数按0计算；</w:t>
      </w:r>
    </w:p>
    <w:p w14:paraId="2D1FDF1E">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不在国家、自治区和我市相关文件规定范围内的重病及慢性病人员，患病手术或骨折后，6个月内本人劳动力系数按0计算；</w:t>
      </w:r>
    </w:p>
    <w:p w14:paraId="37244A0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因照顾长期共同生活且起居不能自理的重残或重病人员而不能正常工作的家庭成员（特指灵活就业人员，限1人），劳动力系数按0计算；</w:t>
      </w:r>
    </w:p>
    <w:p w14:paraId="1D9855B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四</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一户多病家庭，有</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2个及以上</w:t>
      </w:r>
      <w:r>
        <w:rPr>
          <w:rFonts w:hint="eastAsia" w:ascii="仿宋_GB2312" w:hAnsi="Calibri" w:eastAsia="仿宋_GB2312" w:cs="Calibri"/>
          <w:color w:val="000000" w:themeColor="text1"/>
          <w:kern w:val="0"/>
          <w:sz w:val="32"/>
          <w:szCs w:val="32"/>
          <w14:textFill>
            <w14:solidFill>
              <w14:schemeClr w14:val="tx1"/>
            </w14:solidFill>
          </w14:textFill>
        </w:rPr>
        <w:t>患国家、自治区及我市相关文件规定的重病或慢性病病人的，所有家庭成员劳动力系数按原系数的3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01158F8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五</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一户多残家庭，有2</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个及以上</w:t>
      </w:r>
      <w:r>
        <w:rPr>
          <w:rFonts w:hint="eastAsia" w:ascii="仿宋_GB2312" w:hAnsi="Calibri" w:eastAsia="仿宋_GB2312" w:cs="Calibri"/>
          <w:color w:val="000000" w:themeColor="text1"/>
          <w:kern w:val="0"/>
          <w:sz w:val="32"/>
          <w:szCs w:val="32"/>
          <w14:textFill>
            <w14:solidFill>
              <w14:schemeClr w14:val="tx1"/>
            </w14:solidFill>
          </w14:textFill>
        </w:rPr>
        <w:t>残疾人的，所有家庭成员劳动力系数按原系数的3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3685053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hint="default"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 xml:space="preserve">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（六）一户既有残疾人又有重病或</w:t>
      </w:r>
      <w:r>
        <w:rPr>
          <w:rFonts w:hint="eastAsia" w:ascii="仿宋_GB2312" w:hAnsi="Calibri" w:eastAsia="仿宋_GB2312" w:cs="Calibri"/>
          <w:color w:val="000000" w:themeColor="text1"/>
          <w:kern w:val="0"/>
          <w:sz w:val="32"/>
          <w:szCs w:val="32"/>
          <w14:textFill>
            <w14:solidFill>
              <w14:schemeClr w14:val="tx1"/>
            </w14:solidFill>
          </w14:textFill>
        </w:rPr>
        <w:t>慢性病病人</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2人及以上</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的家庭，所</w:t>
      </w:r>
      <w:r>
        <w:rPr>
          <w:rFonts w:hint="eastAsia" w:ascii="仿宋_GB2312" w:hAnsi="Calibri" w:eastAsia="仿宋_GB2312" w:cs="Calibri"/>
          <w:color w:val="000000" w:themeColor="text1"/>
          <w:kern w:val="0"/>
          <w:sz w:val="32"/>
          <w:szCs w:val="32"/>
          <w14:textFill>
            <w14:solidFill>
              <w14:schemeClr w14:val="tx1"/>
            </w14:solidFill>
          </w14:textFill>
        </w:rPr>
        <w:t>有家庭成员劳动力系数按原系数的3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284379FE">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七</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单亲6个月以上，且孩子与法定抚养人共同生</w:t>
      </w:r>
    </w:p>
    <w:p w14:paraId="16E3165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活的单亲家庭，有</w:t>
      </w:r>
      <w:r>
        <w:rPr>
          <w:rFonts w:ascii="仿宋_GB2312" w:hAnsi="Calibri" w:eastAsia="仿宋_GB2312" w:cs="Calibri"/>
          <w:color w:val="000000" w:themeColor="text1"/>
          <w:kern w:val="0"/>
          <w:sz w:val="32"/>
          <w:szCs w:val="32"/>
          <w14:textFill>
            <w14:solidFill>
              <w14:schemeClr w14:val="tx1"/>
            </w14:solidFill>
          </w14:textFill>
        </w:rPr>
        <w:t>1</w:t>
      </w:r>
      <w:r>
        <w:rPr>
          <w:rFonts w:hint="eastAsia" w:ascii="仿宋_GB2312" w:hAnsi="Calibri" w:eastAsia="仿宋_GB2312" w:cs="Calibri"/>
          <w:color w:val="000000" w:themeColor="text1"/>
          <w:kern w:val="0"/>
          <w:sz w:val="32"/>
          <w:szCs w:val="32"/>
          <w14:textFill>
            <w14:solidFill>
              <w14:schemeClr w14:val="tx1"/>
            </w14:solidFill>
          </w14:textFill>
        </w:rPr>
        <w:t>个孩子（</w:t>
      </w:r>
      <w:bookmarkStart w:id="13" w:name="_Hlk145941378"/>
      <w:r>
        <w:rPr>
          <w:rFonts w:hint="eastAsia" w:ascii="仿宋_GB2312" w:hAnsi="Calibri" w:eastAsia="仿宋_GB2312" w:cs="Calibri"/>
          <w:color w:val="000000" w:themeColor="text1"/>
          <w:kern w:val="0"/>
          <w:sz w:val="32"/>
          <w:szCs w:val="32"/>
          <w14:textFill>
            <w14:solidFill>
              <w14:schemeClr w14:val="tx1"/>
            </w14:solidFill>
          </w14:textFill>
        </w:rPr>
        <w:t>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周岁以下或1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周岁以上（含1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周岁）且研究生学历以下的在校生</w:t>
      </w:r>
      <w:bookmarkEnd w:id="13"/>
      <w:r>
        <w:rPr>
          <w:rFonts w:hint="eastAsia" w:ascii="仿宋_GB2312" w:hAnsi="Calibri" w:eastAsia="仿宋_GB2312" w:cs="Calibri"/>
          <w:color w:val="000000" w:themeColor="text1"/>
          <w:kern w:val="0"/>
          <w:sz w:val="32"/>
          <w:szCs w:val="32"/>
          <w14:textFill>
            <w14:solidFill>
              <w14:schemeClr w14:val="tx1"/>
            </w14:solidFill>
          </w14:textFill>
        </w:rPr>
        <w:t>）的，单亲父母的劳动力系数按原系数的5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%计算；有2个孩子（1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周岁以下或1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周岁以上（含1</w:t>
      </w:r>
      <w:r>
        <w:rPr>
          <w:rFonts w:ascii="仿宋_GB2312" w:hAnsi="Calibri" w:eastAsia="仿宋_GB2312" w:cs="Calibri"/>
          <w:color w:val="000000" w:themeColor="text1"/>
          <w:kern w:val="0"/>
          <w:sz w:val="32"/>
          <w:szCs w:val="32"/>
          <w14:textFill>
            <w14:solidFill>
              <w14:schemeClr w14:val="tx1"/>
            </w14:solidFill>
          </w14:textFill>
        </w:rPr>
        <w:t>8</w:t>
      </w:r>
      <w:r>
        <w:rPr>
          <w:rFonts w:hint="eastAsia" w:ascii="仿宋_GB2312" w:hAnsi="Calibri" w:eastAsia="仿宋_GB2312" w:cs="Calibri"/>
          <w:color w:val="000000" w:themeColor="text1"/>
          <w:kern w:val="0"/>
          <w:sz w:val="32"/>
          <w:szCs w:val="32"/>
          <w14:textFill>
            <w14:solidFill>
              <w14:schemeClr w14:val="tx1"/>
            </w14:solidFill>
          </w14:textFill>
        </w:rPr>
        <w:t>周岁）且研究生学历以下的在校生）的，单亲父母的劳动力系数按原系数的2</w:t>
      </w:r>
      <w:r>
        <w:rPr>
          <w:rFonts w:ascii="仿宋_GB2312" w:hAnsi="Calibri" w:eastAsia="仿宋_GB2312" w:cs="Calibri"/>
          <w:color w:val="000000" w:themeColor="text1"/>
          <w:kern w:val="0"/>
          <w:sz w:val="32"/>
          <w:szCs w:val="32"/>
          <w14:textFill>
            <w14:solidFill>
              <w14:schemeClr w14:val="tx1"/>
            </w14:solidFill>
          </w14:textFill>
        </w:rPr>
        <w:t>5</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41DE8641">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八</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有处于学龄前教育阶段子女（0</w:t>
      </w:r>
      <w:r>
        <w:rPr>
          <w:rFonts w:ascii="仿宋_GB2312" w:hAnsi="Calibri" w:eastAsia="仿宋_GB2312" w:cs="Calibri"/>
          <w:color w:val="000000" w:themeColor="text1"/>
          <w:kern w:val="0"/>
          <w:sz w:val="32"/>
          <w:szCs w:val="32"/>
          <w14:textFill>
            <w14:solidFill>
              <w14:schemeClr w14:val="tx1"/>
            </w14:solidFill>
          </w14:textFill>
        </w:rPr>
        <w:t>-7</w:t>
      </w:r>
      <w:r>
        <w:rPr>
          <w:rFonts w:hint="eastAsia" w:ascii="仿宋_GB2312" w:hAnsi="Calibri" w:eastAsia="仿宋_GB2312" w:cs="Calibri"/>
          <w:color w:val="000000" w:themeColor="text1"/>
          <w:kern w:val="0"/>
          <w:sz w:val="32"/>
          <w:szCs w:val="32"/>
          <w14:textFill>
            <w14:solidFill>
              <w14:schemeClr w14:val="tx1"/>
            </w14:solidFill>
          </w14:textFill>
        </w:rPr>
        <w:t>周岁）的家庭，父母一方的劳动力系数按原系数的5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%计算；</w:t>
      </w:r>
    </w:p>
    <w:p w14:paraId="7E4A4E3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九</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哺乳期妇女（从婴儿出生之日起至满一周岁）、</w:t>
      </w:r>
    </w:p>
    <w:p w14:paraId="404341E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刑满释放1年内的人员劳动力系数按0计算。</w:t>
      </w:r>
    </w:p>
    <w:p w14:paraId="4DDCAF4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Calibri"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第十九条</w:t>
      </w:r>
      <w:r>
        <w:rPr>
          <w:rFonts w:hint="eastAsia" w:ascii="仿宋_GB2312" w:hAnsi="Calibri" w:eastAsia="仿宋_GB2312" w:cs="Calibri"/>
          <w:color w:val="000000" w:themeColor="text1"/>
          <w:kern w:val="0"/>
          <w:sz w:val="32"/>
          <w:szCs w:val="32"/>
          <w14:textFill>
            <w14:solidFill>
              <w14:schemeClr w14:val="tx1"/>
            </w14:solidFill>
          </w14:textFill>
        </w:rPr>
        <w:t>  低保申请家庭收入应当符合家庭人均收入低于当地低保标准的条件。</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w:t>
      </w:r>
    </w:p>
    <w:p w14:paraId="0AB6E60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第二十条</w:t>
      </w:r>
      <w:r>
        <w:rPr>
          <w:rFonts w:ascii="宋体" w:hAnsi="宋体" w:eastAsia="宋体"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家庭财产指共同生活的家庭成员拥有的全部动产和不动产。动产主要包括银行存款、证券、基金、商业保险、债权、互联网金融资产以及车辆等。不动产主要包括房屋、林木等定着物</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对于维持家庭生产生活的必需财产，可以在认定家庭财产状况时予以豁免。</w:t>
      </w:r>
    </w:p>
    <w:p w14:paraId="487F4CC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第二十一条</w:t>
      </w:r>
      <w:r>
        <w:rPr>
          <w:rFonts w:hint="eastAsia" w:ascii="仿宋_GB2312" w:hAnsi="Calibri" w:eastAsia="仿宋_GB2312" w:cs="Calibri"/>
          <w:color w:val="000000" w:themeColor="text1"/>
          <w:kern w:val="0"/>
          <w:sz w:val="32"/>
          <w:szCs w:val="32"/>
          <w14:textFill>
            <w14:solidFill>
              <w14:schemeClr w14:val="tx1"/>
            </w14:solidFill>
          </w14:textFill>
        </w:rPr>
        <w:t>  低保申请家庭财产认定标准：</w:t>
      </w:r>
    </w:p>
    <w:p w14:paraId="3E10D1B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（一）共同生活的家庭成员人均拥有的金融资产财产额度上限，按包头市城乡低保月标准的1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倍确定</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435B974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u w:val="none" w:color="auto"/>
          <w14:textFill>
            <w14:solidFill>
              <w14:schemeClr w14:val="tx1"/>
            </w14:solidFill>
          </w14:textFill>
        </w:rPr>
        <w:t>家庭只有1套非商用住宅，建筑面积100平方米以下</w:t>
      </w:r>
      <w:r>
        <w:rPr>
          <w:rFonts w:hint="eastAsia" w:ascii="仿宋_GB2312" w:hAnsi="仿宋_GB2312" w:eastAsia="仿宋_GB2312" w:cs="仿宋_GB2312"/>
          <w:color w:val="000000" w:themeColor="text1"/>
          <w:sz w:val="32"/>
          <w:szCs w:val="32"/>
          <w:highlight w:val="none"/>
          <w:u w:val="none" w:color="auto"/>
          <w:lang w:eastAsia="zh-CN"/>
          <w14:textFill>
            <w14:solidFill>
              <w14:schemeClr w14:val="tx1"/>
            </w14:solidFill>
          </w14:textFill>
        </w:rPr>
        <w:t>（农村宅基地不限建筑面积）</w:t>
      </w:r>
      <w:r>
        <w:rPr>
          <w:rFonts w:hint="eastAsia" w:ascii="仿宋_GB2312" w:hAnsi="仿宋_GB2312" w:eastAsia="仿宋_GB2312" w:cs="仿宋_GB2312"/>
          <w:color w:val="000000" w:themeColor="text1"/>
          <w:sz w:val="32"/>
          <w:szCs w:val="32"/>
          <w:highlight w:val="none"/>
          <w:u w:val="none" w:color="auto"/>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3人以上（不含3人）户按家庭人均住房建筑面积</w:t>
      </w:r>
      <w:r>
        <w:rPr>
          <w:rFonts w:hint="eastAsia" w:ascii="仿宋_GB2312" w:hAnsi="仿宋_GB2312" w:eastAsia="仿宋_GB2312" w:cs="仿宋_GB2312"/>
          <w:color w:val="000000" w:themeColor="text1"/>
          <w:sz w:val="32"/>
          <w:szCs w:val="32"/>
          <w:u w:val="none" w:color="auto"/>
          <w:vertAlign w:val="baseline"/>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平方米</w:t>
      </w:r>
      <w:r>
        <w:rPr>
          <w:rFonts w:hint="eastAsia" w:ascii="仿宋_GB2312" w:hAnsi="仿宋_GB2312" w:eastAsia="仿宋_GB2312" w:cs="仿宋_GB2312"/>
          <w:color w:val="000000" w:themeColor="text1"/>
          <w:sz w:val="32"/>
          <w:szCs w:val="32"/>
          <w:u w:val="none" w:color="auto"/>
          <w:vertAlign w:val="baseline"/>
          <w:lang w:eastAsia="zh-CN"/>
          <w14:textFill>
            <w14:solidFill>
              <w14:schemeClr w14:val="tx1"/>
            </w14:solidFill>
          </w14:textFill>
        </w:rPr>
        <w:t>为上限确定。但家庭成员拥有或使用的尚未办理房产过户登记的住房，按家庭自有住房核定；</w:t>
      </w:r>
    </w:p>
    <w:p w14:paraId="3DFD509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（三）共同生活的家庭成员名下不得拥有机动车辆、船舶</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维持家庭生产生活所必需的小型农机具，家用经济型摩托车</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家用经济型电动车以及残疾人代步车，价值不超过当地城市低保标准6倍的，在认定时予以豁免</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58D420E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共同生活的家庭成员名下不得拥有、租赁用于工业、商业、服务业等经营性的不动产（包括房产、土地、林地、水域、荒滩等）。城乡一体化地区农业户籍家庭拥有上述不动产用于农业生产生活的，按市场标准将其农业成果折算成收入计入家庭金融财产；</w:t>
      </w:r>
    </w:p>
    <w:p w14:paraId="7D5338B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（五）共同生活的家庭成员以土地、房屋、现金、技术等入股参与经营活动的，根据其占入股企业、社会组织的股权比例和其生产活动情况核定其家庭收入；</w:t>
      </w:r>
    </w:p>
    <w:p w14:paraId="1083655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第二十二条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苏木乡镇人民政府（街道办事处）应当自受理</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申请之日起3个工作日内，启动家庭经济状况调查工作。调查可以通过入户调查、邻里访问、信函索证或者提请旗县区人民政府民政部门开展家庭经济状况信息核对等方式进行。</w:t>
      </w:r>
    </w:p>
    <w:p w14:paraId="09D4F75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共同生活家庭成员经常居住地与户籍所在地不一致的，经常居住地旗县区人民政府民政部门应当配合开展家庭经济状况调查和动态管理等相关工作。</w:t>
      </w:r>
    </w:p>
    <w:p w14:paraId="34BE85E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第二十三条</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苏木乡镇人民政府（街道办事处）可以在嘎查村（居）民委员会协助下，通过下列方式对申请家庭的经济状况和实际生活情况予以调查核实。每组调查人员不得少于2人。</w:t>
      </w:r>
    </w:p>
    <w:p w14:paraId="1373068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（一）入户调查。调查人员到申请家庭中了解家庭收入、财产情况和吃、穿、住、用等实际生活情况。入户调查结束后，调查人员应当填写入户调查表，并由调查人员和在场的共同生活家庭成员分别签字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7DEEC7E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（二）邻里访问。调查人员到申请家庭所在嘎查村（居）民委员会和社区，走访了解其家庭收入、财产和实际生活状况</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3A5F25C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Calibri" w:hAnsi="Calibri" w:eastAsia="仿宋_GB2312" w:cs="Calibri"/>
          <w:color w:val="000000" w:themeColor="text1"/>
          <w:kern w:val="0"/>
          <w:sz w:val="32"/>
          <w:szCs w:val="32"/>
          <w:lang w:eastAsia="zh-CN"/>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（三）信函索证。调查人员以信函等方式向相关单位和部门索取有关佐证材料</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49F790B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（四）其他调查方式。</w:t>
      </w:r>
    </w:p>
    <w:p w14:paraId="31016DD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发生重大突发事件时，前款规定的入户调查、邻里访问程序可以采取电话、视频等非接触方式进行。</w:t>
      </w:r>
    </w:p>
    <w:p w14:paraId="661C011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第二十四条</w:t>
      </w:r>
      <w:r>
        <w:rPr>
          <w:rFonts w:ascii="宋体" w:hAnsi="宋体" w:eastAsia="宋体"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旗县区人民政府民政部门应当在收到苏木乡镇人民政府（街道办事处）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14:paraId="1337E3D1">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Calibri" w:eastAsia="仿宋_GB2312" w:cs="Calibri"/>
          <w:color w:val="000000" w:themeColor="text1"/>
          <w:kern w:val="0"/>
          <w:sz w:val="32"/>
          <w:szCs w:val="32"/>
          <w:u w:val="none"/>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对于出借身份证购买车辆、开办企业、开具发票、购买房屋等申请或在享低保家庭成员，</w:t>
      </w:r>
      <w:r>
        <w:rPr>
          <w:rFonts w:hint="eastAsia" w:ascii="仿宋_GB2312" w:hAnsi="Calibri" w:eastAsia="仿宋_GB2312" w:cs="Calibri"/>
          <w:color w:val="000000" w:themeColor="text1"/>
          <w:kern w:val="0"/>
          <w:sz w:val="32"/>
          <w:szCs w:val="32"/>
          <w:u w:val="none"/>
          <w14:textFill>
            <w14:solidFill>
              <w14:schemeClr w14:val="tx1"/>
            </w14:solidFill>
          </w14:textFill>
        </w:rPr>
        <w:t>苏木乡镇人民政府（街道办事处）</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应组织嘎查村（居）民委员会、熟悉情况的居民评议，确实本人不拥有的，给予3个月期限办理过户、注销、报废处理手续，因特殊原因无法办理的，经本人承诺，不再作为申请或取消低保待遇限制条件；</w:t>
      </w:r>
      <w:r>
        <w:rPr>
          <w:rFonts w:hint="eastAsia" w:ascii="仿宋_GB2312" w:hAnsi="Calibri" w:eastAsia="仿宋_GB2312" w:cs="Calibri"/>
          <w:color w:val="000000" w:themeColor="text1"/>
          <w:kern w:val="0"/>
          <w:sz w:val="32"/>
          <w:szCs w:val="32"/>
          <w:u w:val="none"/>
          <w:lang w:val="en-US" w:eastAsia="zh-CN"/>
          <w14:textFill>
            <w14:solidFill>
              <w14:schemeClr w14:val="tx1"/>
            </w14:solidFill>
          </w14:textFill>
        </w:rPr>
        <w:t>对于涉及车辆正常报废，因特殊原因无法履行正常报废手续的，经本人承诺，不再作为申请或取消低保待遇限制条件。</w:t>
      </w:r>
    </w:p>
    <w:p w14:paraId="43DF2C0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textAlignment w:val="auto"/>
        <w:rPr>
          <w:rFonts w:ascii="Calibri" w:hAnsi="Calibri" w:eastAsia="宋体" w:cs="Calibri"/>
          <w:color w:val="000000" w:themeColor="text1"/>
          <w:kern w:val="0"/>
          <w:sz w:val="32"/>
          <w:szCs w:val="32"/>
          <w14:textFill>
            <w14:solidFill>
              <w14:schemeClr w14:val="tx1"/>
            </w14:solidFill>
          </w14:textFill>
        </w:rPr>
      </w:pP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旗县区人民政府民政部门可以根据当地实际情况，通过家庭用水、用电、燃气、通讯等日常生活费用支出，以及是否存在高收费学校就读（含入托、出国留学）、出国旅游等情况，对家庭经济状况进行辅助评估。</w:t>
      </w:r>
    </w:p>
    <w:p w14:paraId="6CBEA12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第二十五条</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14:textFill>
            <w14:solidFill>
              <w14:schemeClr w14:val="tx1"/>
            </w14:solidFill>
          </w14:textFill>
        </w:rPr>
        <w:t>经家庭经济状况信息核对，不符合条件的低保申请，苏木乡镇人民政府（街道办事处）应当及时告知申请人。</w:t>
      </w:r>
    </w:p>
    <w:p w14:paraId="3332709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申请人有异议的，应当提供相关佐证材料；苏木乡镇人民政府（街道办事处）应当组织开展复查。</w:t>
      </w:r>
    </w:p>
    <w:p w14:paraId="1D65A5B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Calibri"/>
          <w:color w:val="000000" w:themeColor="text1"/>
          <w:kern w:val="0"/>
          <w:sz w:val="32"/>
          <w:szCs w:val="32"/>
          <w14:textFill>
            <w14:solidFill>
              <w14:schemeClr w14:val="tx1"/>
            </w14:solidFill>
          </w14:textFill>
        </w:rPr>
      </w:pPr>
    </w:p>
    <w:p w14:paraId="7E42283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Cs w:val="21"/>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第四章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审核确认</w:t>
      </w:r>
    </w:p>
    <w:p w14:paraId="2A501FF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791A270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第二十六条</w:t>
      </w:r>
      <w:r>
        <w:rPr>
          <w:rFonts w:hint="eastAsia" w:ascii="仿宋_GB2312" w:hAnsi="Calibri" w:eastAsia="仿宋_GB2312" w:cs="Calibri"/>
          <w:color w:val="000000" w:themeColor="text1"/>
          <w:kern w:val="0"/>
          <w:sz w:val="32"/>
          <w:szCs w:val="32"/>
          <w14:textFill>
            <w14:solidFill>
              <w14:schemeClr w14:val="tx1"/>
            </w14:solidFill>
          </w14:textFill>
        </w:rPr>
        <w:t>  苏木乡镇人民政府（街道办事处）当根据家庭经济状况调查核实情况，提出初审意见，并在申请家庭所在嘎查村、社区进行公示。公示期为7天。公示期满无异议的，苏木乡镇人民政府（街道办事处）应当及时将申请材料、家庭经济状况调查核实结果、初审意见等相关材料报送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w:t>
      </w:r>
    </w:p>
    <w:p w14:paraId="35C6776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公示有异议的，苏木乡镇人民政府（街道办事处）应当对申请家庭的经济状况重新组织调查或者开展</w:t>
      </w:r>
      <w:r>
        <w:rPr>
          <w:rFonts w:hint="eastAsia" w:ascii="仿宋_GB2312" w:hAnsi="Calibri" w:eastAsia="仿宋_GB2312" w:cs="Calibri"/>
          <w:b w:val="0"/>
          <w:bCs w:val="0"/>
          <w:color w:val="000000" w:themeColor="text1"/>
          <w:kern w:val="0"/>
          <w:sz w:val="32"/>
          <w:szCs w:val="32"/>
          <w14:textFill>
            <w14:solidFill>
              <w14:schemeClr w14:val="tx1"/>
            </w14:solidFill>
          </w14:textFill>
        </w:rPr>
        <w:t>民主评议</w:t>
      </w:r>
      <w:r>
        <w:rPr>
          <w:rFonts w:hint="eastAsia" w:ascii="仿宋_GB2312" w:hAnsi="Calibri" w:eastAsia="仿宋_GB2312" w:cs="Calibri"/>
          <w:color w:val="000000" w:themeColor="text1"/>
          <w:kern w:val="0"/>
          <w:sz w:val="32"/>
          <w:szCs w:val="32"/>
          <w14:textFill>
            <w14:solidFill>
              <w14:schemeClr w14:val="tx1"/>
            </w14:solidFill>
          </w14:textFill>
        </w:rPr>
        <w:t>。调查或者民主评议结束后，苏木乡镇人民政府（街道办事处）应当重新提出初审意见，连同申请材料、家庭经济状况调查核实结果等相关材料报送旗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w:t>
      </w:r>
    </w:p>
    <w:p w14:paraId="68BF381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第二十七条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旗县区人民政府民政部门应当自收到苏木乡镇人民政府（街道办事处）上报的申请材料、家庭经济状况调查核实结果和初审意见等材料后10个工作日内，提出审核确认意见。</w:t>
      </w:r>
    </w:p>
    <w:p w14:paraId="02D0FBF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对单独登记备案或者在审核确认阶段接到投诉、举报或者其他需要重点调查的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申请，旗县区人民政府民政部门应当入户调查。</w:t>
      </w:r>
    </w:p>
    <w:p w14:paraId="1433955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第二十八条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旗县区人民政府民政部门经审核，对符合条件的申请予以确认同意，同时确定救助金额，发放</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确认通知书，并从作出确认同意决定之日下月起发放</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金。对不符合条件的申请不予确认同意，并应当在作出决定3个工作日内，通过苏木乡镇人民政府（街道办事处）书面告知申请人并说明理由。</w:t>
      </w:r>
    </w:p>
    <w:p w14:paraId="6C1DCC6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第二十九条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权限下放到苏木乡镇人民政府（街道办事处）的旗县区，由苏木乡镇人民政府（街道办事处）提出审核确认意见，旗县区人民政府民政部门应当切实履行监管职责。对苏木乡镇人民政府（街道办事处）新审核确认事项，旗县区人民政府民政部门应当按照不低于30%的比例进行抽查。</w:t>
      </w:r>
    </w:p>
    <w:p w14:paraId="68F32DE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工作应当自受理之日起30个工作日之内完成；审核确认权限下放到苏木乡镇人民政府（街道办事处）的，应当自受理之日起20个工作日之内完成。发生公示有异议、人户分离、异地申办或者家庭经济状况调查难度较大等特殊情况的，可以延长至45个工作日。</w:t>
      </w:r>
    </w:p>
    <w:p w14:paraId="752CBB0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hint="default" w:ascii="Calibri"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第三十一条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金按照审核确</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认的</w:t>
      </w:r>
      <w:r>
        <w:rPr>
          <w:rFonts w:hint="eastAsia" w:ascii="仿宋_GB2312" w:hAnsi="Calibri" w:eastAsia="仿宋_GB2312" w:cs="Calibri"/>
          <w:color w:val="000000" w:themeColor="text1"/>
          <w:kern w:val="0"/>
          <w:sz w:val="32"/>
          <w:szCs w:val="32"/>
          <w14:textFill>
            <w14:solidFill>
              <w14:schemeClr w14:val="tx1"/>
            </w14:solidFill>
          </w14:textFill>
        </w:rPr>
        <w:t>申请家庭人均收入与当地低保标准的实际差额计算</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补差水平低于当地低保标准10%的，补差金额提高至当地低保标准的10%。</w:t>
      </w:r>
    </w:p>
    <w:p w14:paraId="75B8499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第三十二条</w:t>
      </w:r>
      <w:r>
        <w:rPr>
          <w:rFonts w:ascii="仿宋_GB2312" w:hAnsi="Calibri" w:eastAsia="仿宋_GB2312" w:cs="Calibri"/>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旗县区人民政府民政部门应当在</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家庭所在嘎查村、社区公布</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申请人姓名、家庭成员数量、保障金额等信息。</w:t>
      </w:r>
    </w:p>
    <w:p w14:paraId="5B77173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信息公布应当依法保护个人隐私，不得公开无关信息。</w:t>
      </w:r>
    </w:p>
    <w:p w14:paraId="3A7DA36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第三十三条</w:t>
      </w:r>
      <w:r>
        <w:rPr>
          <w:rFonts w:hint="eastAsia" w:ascii="仿宋_GB2312" w:hAnsi="Calibri" w:eastAsia="仿宋_GB2312" w:cs="Calibri"/>
          <w:color w:val="000000" w:themeColor="text1"/>
          <w:kern w:val="0"/>
          <w:sz w:val="32"/>
          <w:szCs w:val="32"/>
          <w14:textFill>
            <w14:solidFill>
              <w14:schemeClr w14:val="tx1"/>
            </w14:solidFill>
          </w14:textFill>
        </w:rPr>
        <w:t>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金原则上实行社会化发放，通过银行、信用社等代理金融机构，按月支付到</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家庭的账户。</w:t>
      </w:r>
    </w:p>
    <w:p w14:paraId="2083D63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第三十四条</w:t>
      </w:r>
      <w:r>
        <w:rPr>
          <w:rFonts w:hint="eastAsia" w:ascii="仿宋_GB2312" w:hAnsi="Calibri" w:eastAsia="仿宋_GB2312" w:cs="Calibri"/>
          <w:color w:val="000000" w:themeColor="text1"/>
          <w:kern w:val="0"/>
          <w:sz w:val="32"/>
          <w:szCs w:val="32"/>
          <w14:textFill>
            <w14:solidFill>
              <w14:schemeClr w14:val="tx1"/>
            </w14:solidFill>
          </w14:textFill>
        </w:rPr>
        <w:t>  苏木乡镇人民政府（街道办事处）或者嘎查村（居）民委会相关工作人员代为保管用于领取低保金银行卡的，应当与</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家庭成员签订书面协议并报旗县区人民政府民政部门备案。</w:t>
      </w:r>
    </w:p>
    <w:p w14:paraId="7DA93B8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第三十五条</w:t>
      </w:r>
      <w:r>
        <w:rPr>
          <w:rFonts w:hint="eastAsia" w:ascii="仿宋_GB2312" w:hAnsi="Calibri" w:eastAsia="仿宋_GB2312" w:cs="Calibri"/>
          <w:color w:val="000000" w:themeColor="text1"/>
          <w:kern w:val="0"/>
          <w:sz w:val="32"/>
          <w:szCs w:val="32"/>
          <w14:textFill>
            <w14:solidFill>
              <w14:schemeClr w14:val="tx1"/>
            </w14:solidFill>
          </w14:textFill>
        </w:rPr>
        <w:t>  对获得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后生活仍有困难的老年人、未成年人、重度残疾人和重病患者，应当采取必要措施给予生活保障。</w:t>
      </w:r>
    </w:p>
    <w:p w14:paraId="460834C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一</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学生：</w:t>
      </w:r>
    </w:p>
    <w:p w14:paraId="691B5B7C">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1.</w:t>
      </w:r>
      <w:r>
        <w:rPr>
          <w:rFonts w:hint="eastAsia" w:ascii="仿宋_GB2312" w:hAnsi="Calibri" w:eastAsia="仿宋_GB2312" w:cs="Calibri"/>
          <w:color w:val="000000" w:themeColor="text1"/>
          <w:kern w:val="0"/>
          <w:sz w:val="32"/>
          <w:szCs w:val="32"/>
          <w14:textFill>
            <w14:solidFill>
              <w14:schemeClr w14:val="tx1"/>
            </w14:solidFill>
          </w14:textFill>
        </w:rPr>
        <w:t>小学生：学生营养补贴每月3</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12A3508A">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中学生：教育救助补贴每月5</w:t>
      </w:r>
      <w:r>
        <w:rPr>
          <w:rFonts w:ascii="仿宋_GB2312" w:hAnsi="Calibri" w:eastAsia="仿宋_GB2312" w:cs="Calibri"/>
          <w:color w:val="000000" w:themeColor="text1"/>
          <w:kern w:val="0"/>
          <w:sz w:val="32"/>
          <w:szCs w:val="32"/>
          <w14:textFill>
            <w14:solidFill>
              <w14:schemeClr w14:val="tx1"/>
            </w14:solidFill>
          </w14:textFill>
        </w:rPr>
        <w:t>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7BC5D19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3.</w:t>
      </w:r>
      <w:r>
        <w:rPr>
          <w:rFonts w:hint="eastAsia" w:ascii="仿宋_GB2312" w:hAnsi="Calibri" w:eastAsia="仿宋_GB2312" w:cs="Calibri"/>
          <w:color w:val="000000" w:themeColor="text1"/>
          <w:kern w:val="0"/>
          <w:sz w:val="32"/>
          <w:szCs w:val="32"/>
          <w14:textFill>
            <w14:solidFill>
              <w14:schemeClr w14:val="tx1"/>
            </w14:solidFill>
          </w14:textFill>
        </w:rPr>
        <w:t>大学生：教育救助补贴每月1</w:t>
      </w:r>
      <w:r>
        <w:rPr>
          <w:rFonts w:ascii="仿宋_GB2312" w:hAnsi="Calibri" w:eastAsia="仿宋_GB2312" w:cs="Calibri"/>
          <w:color w:val="000000" w:themeColor="text1"/>
          <w:kern w:val="0"/>
          <w:sz w:val="32"/>
          <w:szCs w:val="32"/>
          <w14:textFill>
            <w14:solidFill>
              <w14:schemeClr w14:val="tx1"/>
            </w14:solidFill>
          </w14:textFill>
        </w:rPr>
        <w:t>00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3271CC7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重特大疾病患者（指患重特大疾病或因病完全丧失劳动能力且生活不能自理的人员）：</w:t>
      </w:r>
    </w:p>
    <w:p w14:paraId="53FDE37C">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重特大疾病患者补贴每月1</w:t>
      </w:r>
      <w:r>
        <w:rPr>
          <w:rFonts w:ascii="仿宋_GB2312" w:hAnsi="Calibri" w:eastAsia="仿宋_GB2312" w:cs="Calibri"/>
          <w:color w:val="000000" w:themeColor="text1"/>
          <w:kern w:val="0"/>
          <w:sz w:val="32"/>
          <w:szCs w:val="32"/>
          <w14:textFill>
            <w14:solidFill>
              <w14:schemeClr w14:val="tx1"/>
            </w14:solidFill>
          </w14:textFill>
        </w:rPr>
        <w:t>50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6D475C2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三</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取暖补贴：</w:t>
      </w:r>
    </w:p>
    <w:p w14:paraId="4A474073">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1.</w:t>
      </w:r>
      <w:r>
        <w:rPr>
          <w:rFonts w:hint="eastAsia" w:ascii="仿宋_GB2312" w:hAnsi="Calibri" w:eastAsia="仿宋_GB2312" w:cs="Calibri"/>
          <w:color w:val="000000" w:themeColor="text1"/>
          <w:kern w:val="0"/>
          <w:sz w:val="32"/>
          <w:szCs w:val="32"/>
          <w14:textFill>
            <w14:solidFill>
              <w14:schemeClr w14:val="tx1"/>
            </w14:solidFill>
          </w14:textFill>
        </w:rPr>
        <w:t>城镇</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对象每户每年1</w:t>
      </w:r>
      <w:r>
        <w:rPr>
          <w:rFonts w:ascii="仿宋_GB2312" w:hAnsi="Calibri" w:eastAsia="仿宋_GB2312" w:cs="Calibri"/>
          <w:color w:val="000000" w:themeColor="text1"/>
          <w:kern w:val="0"/>
          <w:sz w:val="32"/>
          <w:szCs w:val="32"/>
          <w14:textFill>
            <w14:solidFill>
              <w14:schemeClr w14:val="tx1"/>
            </w14:solidFill>
          </w14:textFill>
        </w:rPr>
        <w:t>200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66C7FA5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960" w:firstLineChars="300"/>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农村牧区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对象每户每年4</w:t>
      </w:r>
      <w:r>
        <w:rPr>
          <w:rFonts w:ascii="仿宋_GB2312" w:hAnsi="Calibri" w:eastAsia="仿宋_GB2312" w:cs="Calibri"/>
          <w:color w:val="000000" w:themeColor="text1"/>
          <w:kern w:val="0"/>
          <w:sz w:val="32"/>
          <w:szCs w:val="32"/>
          <w14:textFill>
            <w14:solidFill>
              <w14:schemeClr w14:val="tx1"/>
            </w14:solidFill>
          </w14:textFill>
        </w:rPr>
        <w:t>00</w:t>
      </w:r>
      <w:r>
        <w:rPr>
          <w:rFonts w:hint="eastAsia" w:ascii="仿宋_GB2312" w:hAnsi="Calibri" w:eastAsia="仿宋_GB2312" w:cs="Calibri"/>
          <w:color w:val="000000" w:themeColor="text1"/>
          <w:kern w:val="0"/>
          <w:sz w:val="32"/>
          <w:szCs w:val="32"/>
          <w14:textFill>
            <w14:solidFill>
              <w14:schemeClr w14:val="tx1"/>
            </w14:solidFill>
          </w14:textFill>
        </w:rPr>
        <w:t>元。</w:t>
      </w:r>
    </w:p>
    <w:p w14:paraId="2757D9C6">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（四）低保</w:t>
      </w:r>
      <w:r>
        <w:rPr>
          <w:rFonts w:hint="eastAsia" w:ascii="仿宋_GB2312" w:hAnsi="Calibri" w:eastAsia="仿宋_GB2312" w:cs="Calibri"/>
          <w:color w:val="000000" w:themeColor="text1"/>
          <w:kern w:val="0"/>
          <w:sz w:val="32"/>
          <w:szCs w:val="32"/>
          <w14:textFill>
            <w14:solidFill>
              <w14:schemeClr w14:val="tx1"/>
            </w14:solidFill>
          </w14:textFill>
        </w:rPr>
        <w:t>中的“单人户”和</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家庭中的重度残疾人</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重病患者</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在校大学生</w:t>
      </w:r>
      <w:r>
        <w:rPr>
          <w:rFonts w:hint="eastAsia" w:ascii="仿宋_GB2312" w:hAnsi="Calibri" w:eastAsia="仿宋_GB2312" w:cs="Calibri"/>
          <w:color w:val="000000" w:themeColor="text1"/>
          <w:kern w:val="0"/>
          <w:sz w:val="32"/>
          <w:szCs w:val="32"/>
          <w14:textFill>
            <w14:solidFill>
              <w14:schemeClr w14:val="tx1"/>
            </w14:solidFill>
          </w14:textFill>
        </w:rPr>
        <w:t>和</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艾滋病人员</w:t>
      </w:r>
      <w:r>
        <w:rPr>
          <w:rFonts w:hint="eastAsia" w:ascii="仿宋_GB2312" w:hAnsi="Calibri" w:eastAsia="仿宋_GB2312" w:cs="Calibri"/>
          <w:color w:val="000000" w:themeColor="text1"/>
          <w:kern w:val="0"/>
          <w:sz w:val="32"/>
          <w:szCs w:val="32"/>
          <w14:textFill>
            <w14:solidFill>
              <w14:schemeClr w14:val="tx1"/>
            </w14:solidFill>
          </w14:textFill>
        </w:rPr>
        <w:t>享受全额</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p>
    <w:p w14:paraId="4149D1D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第三十六条</w:t>
      </w:r>
      <w:r>
        <w:rPr>
          <w:rFonts w:hint="eastAsia" w:ascii="仿宋_GB2312" w:hAnsi="Calibri" w:eastAsia="仿宋_GB2312" w:cs="Calibri"/>
          <w:color w:val="000000" w:themeColor="text1"/>
          <w:kern w:val="0"/>
          <w:sz w:val="32"/>
          <w:szCs w:val="32"/>
          <w14:textFill>
            <w14:solidFill>
              <w14:schemeClr w14:val="tx1"/>
            </w14:solidFill>
          </w14:textFill>
        </w:rPr>
        <w:t>  未经申请受理、家庭经济状况调查、审核确认等程序，不得将任何家庭或者个人直接纳入低保范围。</w:t>
      </w:r>
    </w:p>
    <w:p w14:paraId="68D6F05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第三十七条</w:t>
      </w:r>
      <w:r>
        <w:rPr>
          <w:rFonts w:hint="eastAsia" w:ascii="仿宋_GB2312" w:hAnsi="Calibri" w:eastAsia="仿宋_GB2312" w:cs="Calibri"/>
          <w:b/>
          <w:bCs/>
          <w:color w:val="000000" w:themeColor="text1"/>
          <w:kern w:val="0"/>
          <w:sz w:val="32"/>
          <w:szCs w:val="32"/>
          <w:lang w:val="en-US" w:eastAsia="zh-CN"/>
          <w14:textFill>
            <w14:solidFill>
              <w14:schemeClr w14:val="tx1"/>
            </w14:solidFill>
          </w14:textFill>
        </w:rPr>
        <w:t xml:space="preserve"> </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审核确认过程中，旗县区人民政府民政部门和苏木乡镇人民政府（街道办事处）不得随意附加非必要限制性条件，不得以特定职业、特定身份等为由直接认定申请家庭符合或者不符合条件。</w:t>
      </w:r>
    </w:p>
    <w:p w14:paraId="596D6DC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第三十八条</w:t>
      </w:r>
      <w:r>
        <w:rPr>
          <w:rFonts w:hint="eastAsia" w:ascii="仿宋_GB2312" w:hAnsi="Calibri" w:eastAsia="仿宋_GB2312" w:cs="Calibri"/>
          <w:color w:val="000000" w:themeColor="text1"/>
          <w:kern w:val="0"/>
          <w:sz w:val="32"/>
          <w:szCs w:val="32"/>
          <w14:textFill>
            <w14:solidFill>
              <w14:schemeClr w14:val="tx1"/>
            </w14:solidFill>
          </w14:textFill>
        </w:rPr>
        <w:t>  申请家庭符合条件的，不得仅将个别家庭成员纳入低保范围。</w:t>
      </w:r>
    </w:p>
    <w:p w14:paraId="61557E0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Calibri"/>
          <w:color w:val="000000" w:themeColor="text1"/>
          <w:kern w:val="0"/>
          <w:sz w:val="32"/>
          <w:szCs w:val="32"/>
          <w14:textFill>
            <w14:solidFill>
              <w14:schemeClr w14:val="tx1"/>
            </w14:solidFill>
          </w14:textFill>
        </w:rPr>
      </w:pPr>
    </w:p>
    <w:p w14:paraId="6B90739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第五章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管理和监督</w:t>
      </w:r>
    </w:p>
    <w:p w14:paraId="1D5D846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4E5C4E4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第三十九条</w:t>
      </w:r>
      <w:r>
        <w:rPr>
          <w:rFonts w:hint="eastAsia" w:ascii="仿宋_GB2312" w:hAnsi="Calibri" w:eastAsia="仿宋_GB2312" w:cs="Calibri"/>
          <w:color w:val="000000" w:themeColor="text1"/>
          <w:kern w:val="0"/>
          <w:sz w:val="32"/>
          <w:szCs w:val="32"/>
          <w14:textFill>
            <w14:solidFill>
              <w14:schemeClr w14:val="tx1"/>
            </w14:solidFill>
          </w14:textFill>
        </w:rPr>
        <w:t>  申请人应当如实申报家庭人口、收入和财产等状况。低保家庭的人口状况、收入状况和财产状况发生变化的，应当及时告知苏木乡镇人民政府（街道办事处）。</w:t>
      </w:r>
    </w:p>
    <w:p w14:paraId="04CAA81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共同生活的家庭成员无正当理由拒不配合低保审核确认工作，隐瞒家庭真实收入和财产，提供虚假证明的，旗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区人民政府民政部门和苏木乡镇人民政府（街道办事处）可以终止审核确认程序。</w:t>
      </w:r>
    </w:p>
    <w:p w14:paraId="02A8526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低保家庭的人口、收入和财产状况发生重大变化超过3个月未主动告知的，旗</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县</w:t>
      </w:r>
      <w:r>
        <w:rPr>
          <w:rFonts w:hint="eastAsia" w:ascii="仿宋_GB2312" w:hAnsi="Calibri" w:eastAsia="仿宋_GB2312" w:cs="Calibri"/>
          <w:color w:val="000000" w:themeColor="text1"/>
          <w:kern w:val="0"/>
          <w:sz w:val="32"/>
          <w:szCs w:val="32"/>
          <w14:textFill>
            <w14:solidFill>
              <w14:schemeClr w14:val="tx1"/>
            </w14:solidFill>
          </w14:textFill>
        </w:rPr>
        <w:t>区人民政府民政部门</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苏木乡镇人民政府（街道办事处）可以进行批评教育。对于发现条件不符合的，应当停止低保；对采取虚报、隐瞒、伪造等手段骗取低保的，应当停止低保，责令退回非法获取的低保金，并依法追究法律责任。</w:t>
      </w:r>
    </w:p>
    <w:p w14:paraId="617AB6A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第四十条</w:t>
      </w:r>
      <w:r>
        <w:rPr>
          <w:rFonts w:hint="eastAsia" w:ascii="仿宋_GB2312" w:hAnsi="Calibri" w:eastAsia="仿宋_GB2312" w:cs="Calibri"/>
          <w:color w:val="000000" w:themeColor="text1"/>
          <w:kern w:val="0"/>
          <w:sz w:val="32"/>
          <w:szCs w:val="32"/>
          <w14:textFill>
            <w14:solidFill>
              <w14:schemeClr w14:val="tx1"/>
            </w14:solidFill>
          </w14:textFill>
        </w:rPr>
        <w:t>  苏木乡镇人民政府（街道办事处）应当对低保家庭的经济状况定期核查，并根据核查情况及时报旗县区人民政府民政部门办理</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金增发、减发、停发手续。</w:t>
      </w:r>
    </w:p>
    <w:p w14:paraId="3617C45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对短期内经济状况变化不大的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家庭，苏木乡镇人民政府（街道办事处）每年核查一次；对收入来源不固定、家庭成员有劳动能力的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家庭，每半年核查一次。核查期内</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家庭的经济状况没有明显变化的，不再调整低保金额度。</w:t>
      </w:r>
    </w:p>
    <w:p w14:paraId="6A45479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发生重大突发事件时，前款规定的核查期限可以适当延长。</w:t>
      </w:r>
    </w:p>
    <w:p w14:paraId="53F08A98">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第四十一条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旗县区人民政府民政部门作出增发、减发、停发低保金决定，应当符合法定事由和规定程序；决定减发、停发低保的，应当告知低保家庭成员并说明理由。</w:t>
      </w:r>
    </w:p>
    <w:p w14:paraId="07FA6CF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第四十二条</w:t>
      </w:r>
      <w:r>
        <w:rPr>
          <w:rFonts w:hint="eastAsia" w:ascii="仿宋_GB2312" w:hAnsi="Calibri" w:eastAsia="仿宋_GB2312" w:cs="Calibri"/>
          <w:color w:val="000000" w:themeColor="text1"/>
          <w:kern w:val="0"/>
          <w:sz w:val="32"/>
          <w:szCs w:val="32"/>
          <w14:textFill>
            <w14:solidFill>
              <w14:schemeClr w14:val="tx1"/>
            </w14:solidFill>
          </w14:textFill>
        </w:rPr>
        <w:t>  鼓励具备就业能力的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家庭成员积极就业。对</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家庭成员因再就业、灵活就业、自谋职业或者自主创业，家庭收入增加且超过</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标准的，城镇低</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保</w:t>
      </w:r>
      <w:r>
        <w:rPr>
          <w:rFonts w:hint="eastAsia" w:ascii="仿宋_GB2312" w:hAnsi="Calibri" w:eastAsia="仿宋_GB2312" w:cs="Calibri"/>
          <w:color w:val="000000" w:themeColor="text1"/>
          <w:kern w:val="0"/>
          <w:sz w:val="32"/>
          <w:szCs w:val="32"/>
          <w14:textFill>
            <w14:solidFill>
              <w14:schemeClr w14:val="tx1"/>
            </w14:solidFill>
          </w14:textFill>
        </w:rPr>
        <w:t>家庭延缓三个月退出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；农村牧区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家庭延缓六个月退出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w:t>
      </w:r>
    </w:p>
    <w:p w14:paraId="2EF9689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 xml:space="preserve">第四十三条 </w:t>
      </w:r>
      <w:r>
        <w:rPr>
          <w:rFonts w:hint="eastAsia" w:ascii="仿宋_GB2312" w:hAnsi="Calibri" w:eastAsia="仿宋_GB2312" w:cs="Calibri"/>
          <w:color w:val="000000" w:themeColor="text1"/>
          <w:kern w:val="0"/>
          <w:sz w:val="32"/>
          <w:szCs w:val="32"/>
          <w14:textFill>
            <w14:solidFill>
              <w14:schemeClr w14:val="tx1"/>
            </w14:solidFill>
          </w14:textFill>
        </w:rPr>
        <w:t>纳入乡村振兴部门脱贫人口范围的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家庭，</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当</w:t>
      </w:r>
      <w:r>
        <w:rPr>
          <w:rFonts w:hint="eastAsia" w:ascii="仿宋_GB2312" w:hAnsi="Calibri" w:eastAsia="仿宋_GB2312" w:cs="Calibri"/>
          <w:color w:val="000000" w:themeColor="text1"/>
          <w:kern w:val="0"/>
          <w:sz w:val="32"/>
          <w:szCs w:val="32"/>
          <w14:textFill>
            <w14:solidFill>
              <w14:schemeClr w14:val="tx1"/>
            </w14:solidFill>
          </w14:textFill>
        </w:rPr>
        <w:t>家庭人均收入超过</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标准</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时</w:t>
      </w:r>
      <w:r>
        <w:rPr>
          <w:rFonts w:hint="eastAsia" w:ascii="仿宋_GB2312" w:hAnsi="Calibri" w:eastAsia="仿宋_GB2312" w:cs="Calibri"/>
          <w:color w:val="000000" w:themeColor="text1"/>
          <w:kern w:val="0"/>
          <w:sz w:val="32"/>
          <w:szCs w:val="32"/>
          <w14:textFill>
            <w14:solidFill>
              <w14:schemeClr w14:val="tx1"/>
            </w14:solidFill>
          </w14:textFill>
        </w:rPr>
        <w:t>，可以采取</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渐</w:t>
      </w:r>
      <w:r>
        <w:rPr>
          <w:rFonts w:hint="eastAsia" w:ascii="仿宋_GB2312" w:hAnsi="Calibri" w:eastAsia="仿宋_GB2312" w:cs="Calibri"/>
          <w:color w:val="000000" w:themeColor="text1"/>
          <w:kern w:val="0"/>
          <w:sz w:val="32"/>
          <w:szCs w:val="32"/>
          <w14:textFill>
            <w14:solidFill>
              <w14:schemeClr w14:val="tx1"/>
            </w14:solidFill>
          </w14:textFill>
        </w:rPr>
        <w:t>退方式退出</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，渐退</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期限为6-</w:t>
      </w:r>
      <w:r>
        <w:rPr>
          <w:rFonts w:hint="eastAsia" w:ascii="仿宋_GB2312" w:hAnsi="Calibri" w:eastAsia="仿宋_GB2312" w:cs="Calibri"/>
          <w:color w:val="000000" w:themeColor="text1"/>
          <w:kern w:val="0"/>
          <w:sz w:val="32"/>
          <w:szCs w:val="32"/>
          <w14:textFill>
            <w14:solidFill>
              <w14:schemeClr w14:val="tx1"/>
            </w14:solidFill>
          </w14:textFill>
        </w:rPr>
        <w:t>1</w:t>
      </w:r>
      <w:r>
        <w:rPr>
          <w:rFonts w:ascii="仿宋_GB2312" w:hAnsi="Calibri" w:eastAsia="仿宋_GB2312" w:cs="Calibri"/>
          <w:color w:val="000000" w:themeColor="text1"/>
          <w:kern w:val="0"/>
          <w:sz w:val="32"/>
          <w:szCs w:val="32"/>
          <w14:textFill>
            <w14:solidFill>
              <w14:schemeClr w14:val="tx1"/>
            </w14:solidFill>
          </w14:textFill>
        </w:rPr>
        <w:t>2</w:t>
      </w:r>
      <w:r>
        <w:rPr>
          <w:rFonts w:hint="eastAsia" w:ascii="仿宋_GB2312" w:hAnsi="Calibri" w:eastAsia="仿宋_GB2312" w:cs="Calibri"/>
          <w:color w:val="000000" w:themeColor="text1"/>
          <w:kern w:val="0"/>
          <w:sz w:val="32"/>
          <w:szCs w:val="32"/>
          <w14:textFill>
            <w14:solidFill>
              <w14:schemeClr w14:val="tx1"/>
            </w14:solidFill>
          </w14:textFill>
        </w:rPr>
        <w:t>个月。</w:t>
      </w:r>
    </w:p>
    <w:p w14:paraId="2D5676C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第四十四条</w:t>
      </w:r>
      <w:r>
        <w:rPr>
          <w:rFonts w:hint="eastAsia" w:ascii="仿宋_GB2312" w:hAnsi="Calibri" w:eastAsia="仿宋_GB2312" w:cs="Calibri"/>
          <w:color w:val="000000" w:themeColor="text1"/>
          <w:kern w:val="0"/>
          <w:sz w:val="32"/>
          <w:szCs w:val="32"/>
          <w14:textFill>
            <w14:solidFill>
              <w14:schemeClr w14:val="tx1"/>
            </w14:solidFill>
          </w14:textFill>
        </w:rPr>
        <w:t>  低保家庭中有就业能力但未就业的成员，应当接受人力资源社会保障等有关部门介绍的工作；无正当理由，连续3次拒绝接受介绍的与其健康状况、劳动能力等相适应的工作的，旗县区人民政府民政部门应当决定减发或者停发其本人的低保金。</w:t>
      </w:r>
    </w:p>
    <w:p w14:paraId="416AF51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第四十五条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旗县区人民政府民政部门应当加强对低保审核确认工作的监督检查，完善相关的监督检查制度。</w:t>
      </w:r>
    </w:p>
    <w:p w14:paraId="7E1588B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第四十六条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旗县区人民政府民政部门和苏木乡镇人民政府（街道办事处）应当公开社会救助服务热线，</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及时受理通过社会救助服务热线和</w:t>
      </w:r>
      <w:r>
        <w:rPr>
          <w:rFonts w:hint="eastAsia" w:ascii="仿宋_GB2312" w:hAnsi="Calibri" w:eastAsia="仿宋_GB2312" w:cs="Calibri"/>
          <w:color w:val="000000" w:themeColor="text1"/>
          <w:kern w:val="0"/>
          <w:sz w:val="32"/>
          <w:szCs w:val="32"/>
          <w14:textFill>
            <w14:solidFill>
              <w14:schemeClr w14:val="tx1"/>
            </w14:solidFill>
          </w14:textFill>
        </w:rPr>
        <w:t>12345政务服务便民热线</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提出的</w:t>
      </w:r>
      <w:r>
        <w:rPr>
          <w:rFonts w:hint="eastAsia" w:ascii="仿宋_GB2312" w:hAnsi="Calibri" w:eastAsia="仿宋_GB2312" w:cs="Calibri"/>
          <w:color w:val="000000" w:themeColor="text1"/>
          <w:kern w:val="0"/>
          <w:sz w:val="32"/>
          <w:szCs w:val="32"/>
          <w14:textFill>
            <w14:solidFill>
              <w14:schemeClr w14:val="tx1"/>
            </w14:solidFill>
          </w14:textFill>
        </w:rPr>
        <w:t>咨询、举报和投诉，接受社会和群众对</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w:t>
      </w:r>
      <w:r>
        <w:rPr>
          <w:rFonts w:hint="eastAsia" w:ascii="仿宋_GB2312" w:hAnsi="Calibri" w:eastAsia="仿宋_GB2312" w:cs="Calibri"/>
          <w:color w:val="000000" w:themeColor="text1"/>
          <w:kern w:val="0"/>
          <w:sz w:val="32"/>
          <w:szCs w:val="32"/>
          <w14:textFill>
            <w14:solidFill>
              <w14:schemeClr w14:val="tx1"/>
            </w14:solidFill>
          </w14:textFill>
        </w:rPr>
        <w:t>审核确认工作的监督。</w:t>
      </w:r>
    </w:p>
    <w:p w14:paraId="42507C3F">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第四十七条</w:t>
      </w:r>
      <w:r>
        <w:rPr>
          <w:rFonts w:hint="eastAsia" w:ascii="仿宋_GB2312" w:hAnsi="Calibri" w:eastAsia="仿宋_GB2312" w:cs="Calibri"/>
          <w:color w:val="000000" w:themeColor="text1"/>
          <w:kern w:val="0"/>
          <w:sz w:val="32"/>
          <w:szCs w:val="32"/>
          <w14:textFill>
            <w14:solidFill>
              <w14:schemeClr w14:val="tx1"/>
            </w14:solidFill>
          </w14:textFill>
        </w:rPr>
        <w:t>  旗县区人民政府民政部门和苏木乡镇人民政府（街道办事处）对接到的实名举报，应当逐一核查，并及时向举报人反馈核查处理结果。</w:t>
      </w:r>
    </w:p>
    <w:p w14:paraId="15D48640">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第四十八条</w:t>
      </w:r>
      <w:r>
        <w:rPr>
          <w:rFonts w:hint="eastAsia" w:ascii="仿宋_GB2312" w:hAnsi="Calibri" w:eastAsia="仿宋_GB2312" w:cs="Calibri"/>
          <w:color w:val="000000" w:themeColor="text1"/>
          <w:kern w:val="0"/>
          <w:sz w:val="32"/>
          <w:szCs w:val="32"/>
          <w14:textFill>
            <w14:solidFill>
              <w14:schemeClr w14:val="tx1"/>
            </w14:solidFill>
          </w14:textFill>
        </w:rPr>
        <w:t>  申请或者已经获得低保的家庭成员对于民政部门作出的具体行政行为不服的，可以依法申请行政复议或者提起行政诉讼。</w:t>
      </w:r>
    </w:p>
    <w:p w14:paraId="31003CF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第四十九条</w:t>
      </w:r>
      <w:r>
        <w:rPr>
          <w:rFonts w:hint="eastAsia" w:ascii="仿宋_GB2312" w:hAnsi="Calibri" w:eastAsia="仿宋_GB2312" w:cs="Calibri"/>
          <w:color w:val="000000" w:themeColor="text1"/>
          <w:kern w:val="0"/>
          <w:sz w:val="32"/>
          <w:szCs w:val="32"/>
          <w14:textFill>
            <w14:solidFill>
              <w14:schemeClr w14:val="tx1"/>
            </w14:solidFill>
          </w14:textFill>
        </w:rPr>
        <w:t>  从事低保工作的人员存在滥用职权、玩忽职守、徇私舞弊、失职渎职等行为的，应当依法依规追究相关责任。</w:t>
      </w:r>
    </w:p>
    <w:p w14:paraId="0E56E9B4">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 xml:space="preserve">第五十条 </w:t>
      </w:r>
      <w:r>
        <w:rPr>
          <w:rFonts w:ascii="仿宋_GB2312" w:hAnsi="Calibri" w:eastAsia="仿宋_GB2312" w:cs="Calibri"/>
          <w:b/>
          <w:bCs/>
          <w:color w:val="000000" w:themeColor="text1"/>
          <w:kern w:val="0"/>
          <w:sz w:val="32"/>
          <w:szCs w:val="32"/>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以下情形可容错纠错：</w:t>
      </w:r>
    </w:p>
    <w:p w14:paraId="4AB29A1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对已经履职尽责，但因信息不对称、信息数据延迟等难以预见的客观因素和改革创新中导致工作失误的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工作人员，可免予处理；</w:t>
      </w:r>
    </w:p>
    <w:p w14:paraId="4F05A19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（二）对非主观原因导致不符合条件人员纳入救助帮扶范围的，可免予追究相关责任。以下情形予以“容错”：经“一事一议”规范程序确定的低保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渐退</w:t>
      </w:r>
      <w:r>
        <w:rPr>
          <w:rFonts w:hint="eastAsia" w:ascii="仿宋_GB2312" w:hAnsi="仿宋_GB2312" w:eastAsia="仿宋_GB2312" w:cs="仿宋_GB2312"/>
          <w:color w:val="000000" w:themeColor="text1"/>
          <w:sz w:val="32"/>
          <w:szCs w:val="32"/>
          <w14:textFill>
            <w14:solidFill>
              <w14:schemeClr w14:val="tx1"/>
            </w14:solidFill>
          </w14:textFill>
        </w:rPr>
        <w:t>、放宽救助条件、提高救助标准等事项，事后发现为“错救”的；因情况紧急，不能及时核实急难对象实际生活状况，采取“先行救助”，出现“错救”的；因申请对象刻意隐瞒，虽采取了必要的调查核查手段未能发现，导致“错救”的；因现有政策不够明晰，救助申请存在一定争议，为化解突出矛盾审核确认的救助事项；其他应予容错情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ABE846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kern w:val="0"/>
          <w:sz w:val="32"/>
          <w:szCs w:val="32"/>
          <w14:textFill>
            <w14:solidFill>
              <w14:schemeClr w14:val="tx1"/>
            </w14:solidFill>
          </w14:textFill>
        </w:rPr>
        <w:t>对秉持公心、履职尽责但因客观原因出现失误偏差且发现问题后能够及时纠正的，依法依规免于问责。</w:t>
      </w:r>
    </w:p>
    <w:p w14:paraId="3F59BDC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各旗县区可根据实际情况制定出台适应本地区的容错纠错机制。</w:t>
      </w:r>
    </w:p>
    <w:p w14:paraId="45F1E953">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第五十一条 </w:t>
      </w:r>
      <w:r>
        <w:rPr>
          <w:rFonts w:hint="eastAsia" w:ascii="仿宋_GB2312" w:hAnsi="仿宋_GB2312" w:eastAsia="仿宋_GB2312" w:cs="仿宋_GB2312"/>
          <w:color w:val="000000" w:themeColor="text1"/>
          <w:sz w:val="32"/>
          <w:szCs w:val="32"/>
          <w14:textFill>
            <w14:solidFill>
              <w14:schemeClr w14:val="tx1"/>
            </w14:solidFill>
          </w14:textFill>
        </w:rPr>
        <w:t xml:space="preserve"> 在审核确认过程中，出现特殊情况，各地可采取“一事一议”。</w:t>
      </w:r>
    </w:p>
    <w:p w14:paraId="54DF3AC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Calibri"/>
          <w:color w:val="000000" w:themeColor="text1"/>
          <w:kern w:val="0"/>
          <w:sz w:val="32"/>
          <w:szCs w:val="32"/>
          <w14:textFill>
            <w14:solidFill>
              <w14:schemeClr w14:val="tx1"/>
            </w14:solidFill>
          </w14:textFill>
        </w:rPr>
      </w:pPr>
    </w:p>
    <w:p w14:paraId="21732827">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2560" w:firstLineChars="800"/>
        <w:jc w:val="both"/>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黑体" w:hAnsi="黑体" w:eastAsia="黑体" w:cs="Calibri"/>
          <w:color w:val="000000" w:themeColor="text1"/>
          <w:kern w:val="0"/>
          <w:sz w:val="32"/>
          <w:szCs w:val="32"/>
          <w14:textFill>
            <w14:solidFill>
              <w14:schemeClr w14:val="tx1"/>
            </w14:solidFill>
          </w14:textFill>
        </w:rPr>
        <w:t>第六章</w:t>
      </w:r>
      <w:r>
        <w:rPr>
          <w:rFonts w:hint="eastAsia" w:ascii="宋体" w:hAnsi="宋体" w:eastAsia="宋体" w:cs="Calibri"/>
          <w:color w:val="000000" w:themeColor="text1"/>
          <w:kern w:val="0"/>
          <w:sz w:val="32"/>
          <w:szCs w:val="32"/>
          <w14:textFill>
            <w14:solidFill>
              <w14:schemeClr w14:val="tx1"/>
            </w14:solidFill>
          </w14:textFill>
        </w:rPr>
        <w:t>  </w:t>
      </w:r>
      <w:r>
        <w:rPr>
          <w:rFonts w:hint="eastAsia" w:ascii="黑体" w:hAnsi="黑体" w:eastAsia="黑体" w:cs="Calibri"/>
          <w:color w:val="000000" w:themeColor="text1"/>
          <w:kern w:val="0"/>
          <w:sz w:val="32"/>
          <w:szCs w:val="32"/>
          <w14:textFill>
            <w14:solidFill>
              <w14:schemeClr w14:val="tx1"/>
            </w14:solidFill>
          </w14:textFill>
        </w:rPr>
        <w:t>附</w:t>
      </w:r>
      <w:r>
        <w:rPr>
          <w:rFonts w:hint="eastAsia" w:ascii="黑体" w:hAnsi="黑体" w:eastAsia="黑体" w:cs="Calibri"/>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Calibri"/>
          <w:color w:val="000000" w:themeColor="text1"/>
          <w:kern w:val="0"/>
          <w:sz w:val="32"/>
          <w:szCs w:val="32"/>
          <w14:textFill>
            <w14:solidFill>
              <w14:schemeClr w14:val="tx1"/>
            </w14:solidFill>
          </w14:textFill>
        </w:rPr>
        <w:t>则</w:t>
      </w:r>
    </w:p>
    <w:p w14:paraId="172CE1AB">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left"/>
        <w:textAlignment w:val="auto"/>
        <w:rPr>
          <w:rFonts w:hint="eastAsia" w:ascii="仿宋_GB2312" w:hAnsi="Calibri" w:eastAsia="仿宋_GB2312" w:cs="Calibri"/>
          <w:b/>
          <w:bCs/>
          <w:color w:val="000000" w:themeColor="text1"/>
          <w:kern w:val="0"/>
          <w:sz w:val="32"/>
          <w:szCs w:val="32"/>
          <w14:textFill>
            <w14:solidFill>
              <w14:schemeClr w14:val="tx1"/>
            </w14:solidFill>
          </w14:textFill>
        </w:rPr>
      </w:pPr>
    </w:p>
    <w:p w14:paraId="1805BF06">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仿宋_GB2312" w:hAnsi="Calibri" w:eastAsia="仿宋_GB2312"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第五十二条</w:t>
      </w:r>
      <w:r>
        <w:rPr>
          <w:rFonts w:hint="eastAsia" w:ascii="仿宋_GB2312" w:hAnsi="Calibri" w:eastAsia="仿宋_GB2312" w:cs="Calibri"/>
          <w:color w:val="000000" w:themeColor="text1"/>
          <w:kern w:val="0"/>
          <w:sz w:val="32"/>
          <w:szCs w:val="32"/>
          <w14:textFill>
            <w14:solidFill>
              <w14:schemeClr w14:val="tx1"/>
            </w14:solidFill>
          </w14:textFill>
        </w:rPr>
        <w:t>  低保申请审核确认过程中，本办法未作出规定或不符合国家、自治区出台的最新政策规定的事项，按照国家和自治区有关规定执行。</w:t>
      </w:r>
    </w:p>
    <w:p w14:paraId="4C2F5A4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 xml:space="preserve">第五十三条 </w:t>
      </w:r>
      <w:r>
        <w:rPr>
          <w:rFonts w:hint="eastAsia" w:ascii="仿宋_GB2312" w:hAnsi="Calibri" w:eastAsia="仿宋_GB2312" w:cs="Calibri"/>
          <w:color w:val="000000" w:themeColor="text1"/>
          <w:kern w:val="0"/>
          <w:sz w:val="32"/>
          <w:szCs w:val="32"/>
          <w14:textFill>
            <w14:solidFill>
              <w14:schemeClr w14:val="tx1"/>
            </w14:solidFill>
          </w14:textFill>
        </w:rPr>
        <w:t>各旗县区人民政府民政部门可根据本办法，结合本地实际，制定实施细则，经当地人民政府同意后</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14:textFill>
            <w14:solidFill>
              <w14:schemeClr w14:val="tx1"/>
            </w14:solidFill>
          </w14:textFill>
        </w:rPr>
        <w:t>报市民政局备案。</w:t>
      </w:r>
    </w:p>
    <w:p w14:paraId="4A0BD732">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ascii="Calibri" w:hAnsi="Calibri" w:eastAsia="宋体" w:cs="Calibri"/>
          <w:color w:val="000000" w:themeColor="text1"/>
          <w:kern w:val="0"/>
          <w:sz w:val="32"/>
          <w:szCs w:val="32"/>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第五十四条</w:t>
      </w:r>
      <w:r>
        <w:rPr>
          <w:rFonts w:hint="eastAsia" w:ascii="仿宋_GB2312" w:hAnsi="Calibri" w:eastAsia="仿宋_GB2312" w:cs="Calibri"/>
          <w:color w:val="000000" w:themeColor="text1"/>
          <w:kern w:val="0"/>
          <w:sz w:val="32"/>
          <w:szCs w:val="32"/>
          <w14:textFill>
            <w14:solidFill>
              <w14:schemeClr w14:val="tx1"/>
            </w14:solidFill>
          </w14:textFill>
        </w:rPr>
        <w:t>  本办法由包头市民政局负责解释。</w:t>
      </w:r>
    </w:p>
    <w:p w14:paraId="7F73796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3" w:firstLineChars="200"/>
        <w:jc w:val="left"/>
        <w:textAlignment w:val="auto"/>
        <w:rPr>
          <w:rFonts w:hint="default" w:ascii="Calibri" w:hAnsi="Calibri" w:eastAsia="仿宋_GB2312" w:cs="Calibri"/>
          <w:color w:val="000000" w:themeColor="text1"/>
          <w:kern w:val="0"/>
          <w:sz w:val="32"/>
          <w:szCs w:val="32"/>
          <w:lang w:val="en-US" w:eastAsia="zh-CN"/>
          <w14:textFill>
            <w14:solidFill>
              <w14:schemeClr w14:val="tx1"/>
            </w14:solidFill>
          </w14:textFill>
        </w:rPr>
      </w:pPr>
      <w:r>
        <w:rPr>
          <w:rFonts w:hint="eastAsia" w:ascii="仿宋_GB2312" w:hAnsi="Calibri" w:eastAsia="仿宋_GB2312" w:cs="Calibri"/>
          <w:b/>
          <w:bCs/>
          <w:color w:val="000000" w:themeColor="text1"/>
          <w:kern w:val="0"/>
          <w:sz w:val="32"/>
          <w:szCs w:val="32"/>
          <w14:textFill>
            <w14:solidFill>
              <w14:schemeClr w14:val="tx1"/>
            </w14:solidFill>
          </w14:textFill>
        </w:rPr>
        <w:t>第五十五条</w:t>
      </w:r>
      <w:r>
        <w:rPr>
          <w:rFonts w:hint="eastAsia" w:ascii="仿宋_GB2312" w:hAnsi="Calibri" w:eastAsia="仿宋_GB2312" w:cs="Calibri"/>
          <w:color w:val="000000" w:themeColor="text1"/>
          <w:kern w:val="0"/>
          <w:sz w:val="32"/>
          <w:szCs w:val="32"/>
          <w14:textFill>
            <w14:solidFill>
              <w14:schemeClr w14:val="tx1"/>
            </w14:solidFill>
          </w14:textFill>
        </w:rPr>
        <w:t>  本办法自发布之日起施行</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包头市最低生活保障对象认定办法</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包府办发〔2021〕121号</w:t>
      </w:r>
      <w:r>
        <w:rPr>
          <w:rFonts w:hint="eastAsia" w:ascii="仿宋_GB2312" w:hAnsi="Calibri" w:eastAsia="仿宋_GB2312" w:cs="Calibri"/>
          <w:color w:val="000000" w:themeColor="text1"/>
          <w:kern w:val="0"/>
          <w:sz w:val="32"/>
          <w:szCs w:val="32"/>
          <w:lang w:eastAsia="zh-CN"/>
          <w14:textFill>
            <w14:solidFill>
              <w14:schemeClr w14:val="tx1"/>
            </w14:solidFill>
          </w14:textFill>
        </w:rPr>
        <w:t>）</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同时废止。</w:t>
      </w:r>
    </w:p>
    <w:p w14:paraId="43D970E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left"/>
        <w:textAlignment w:val="auto"/>
        <w:rPr>
          <w:rFonts w:ascii="Calibri" w:hAnsi="Calibri" w:eastAsia="宋体"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    </w:t>
      </w:r>
    </w:p>
    <w:p w14:paraId="279AAEA6">
      <w:pPr>
        <w:keepNext w:val="0"/>
        <w:keepLines w:val="0"/>
        <w:pageBreakBefore w:val="0"/>
        <w:widowControl/>
        <w:shd w:val="clear" w:color="auto" w:fill="FFFFFF"/>
        <w:kinsoku/>
        <w:wordWrap/>
        <w:overflowPunct/>
        <w:topLinePunct w:val="0"/>
        <w:autoSpaceDE/>
        <w:autoSpaceDN/>
        <w:bidi w:val="0"/>
        <w:adjustRightInd/>
        <w:snapToGrid/>
        <w:spacing w:line="620" w:lineRule="exact"/>
        <w:ind w:left="1918" w:leftChars="304" w:hanging="1280" w:hangingChars="400"/>
        <w:jc w:val="left"/>
        <w:textAlignment w:val="auto"/>
        <w:rPr>
          <w:rFonts w:hint="eastAsia" w:ascii="方正小标宋简体" w:hAnsi="仿宋" w:eastAsia="方正小标宋简体" w:cs="仿宋"/>
          <w:color w:val="000000" w:themeColor="text1"/>
          <w:sz w:val="36"/>
          <w:szCs w:val="36"/>
          <w14:textFill>
            <w14:solidFill>
              <w14:schemeClr w14:val="tx1"/>
            </w14:solidFill>
          </w14:textFill>
        </w:rPr>
      </w:pPr>
      <w:r>
        <w:rPr>
          <w:rFonts w:hint="eastAsia" w:ascii="仿宋_GB2312" w:hAnsi="Calibri" w:eastAsia="仿宋_GB2312" w:cs="Calibri"/>
          <w:color w:val="000000" w:themeColor="text1"/>
          <w:kern w:val="0"/>
          <w:sz w:val="32"/>
          <w:szCs w:val="32"/>
          <w14:textFill>
            <w14:solidFill>
              <w14:schemeClr w14:val="tx1"/>
            </w14:solidFill>
          </w14:textFill>
        </w:rPr>
        <w:t>附</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 xml:space="preserve"> </w:t>
      </w:r>
      <w:r>
        <w:rPr>
          <w:rFonts w:hint="eastAsia" w:ascii="仿宋_GB2312" w:hAnsi="Calibri" w:eastAsia="仿宋_GB2312" w:cs="Calibri"/>
          <w:color w:val="000000" w:themeColor="text1"/>
          <w:kern w:val="0"/>
          <w:sz w:val="32"/>
          <w:szCs w:val="32"/>
          <w14:textFill>
            <w14:solidFill>
              <w14:schemeClr w14:val="tx1"/>
            </w14:solidFill>
          </w14:textFill>
        </w:rPr>
        <w:t>件：包头市申请</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低保家庭</w:t>
      </w:r>
      <w:r>
        <w:rPr>
          <w:rFonts w:hint="eastAsia" w:ascii="仿宋_GB2312" w:hAnsi="Calibri" w:eastAsia="仿宋_GB2312" w:cs="Calibri"/>
          <w:color w:val="000000" w:themeColor="text1"/>
          <w:kern w:val="0"/>
          <w:sz w:val="32"/>
          <w:szCs w:val="32"/>
          <w14:textFill>
            <w14:solidFill>
              <w14:schemeClr w14:val="tx1"/>
            </w14:solidFill>
          </w14:textFill>
        </w:rPr>
        <w:t>劳动力系数</w:t>
      </w:r>
      <w:r>
        <w:rPr>
          <w:rFonts w:hint="eastAsia" w:ascii="仿宋_GB2312" w:hAnsi="Calibri" w:eastAsia="仿宋_GB2312" w:cs="Calibri"/>
          <w:color w:val="000000" w:themeColor="text1"/>
          <w:kern w:val="0"/>
          <w:sz w:val="32"/>
          <w:szCs w:val="32"/>
          <w:lang w:val="en-US" w:eastAsia="zh-CN"/>
          <w14:textFill>
            <w14:solidFill>
              <w14:schemeClr w14:val="tx1"/>
            </w14:solidFill>
          </w14:textFill>
        </w:rPr>
        <w:t>测算</w:t>
      </w:r>
      <w:r>
        <w:rPr>
          <w:rFonts w:hint="eastAsia" w:ascii="仿宋_GB2312" w:hAnsi="Calibri" w:eastAsia="仿宋_GB2312" w:cs="Calibri"/>
          <w:color w:val="000000" w:themeColor="text1"/>
          <w:kern w:val="0"/>
          <w:sz w:val="32"/>
          <w:szCs w:val="32"/>
          <w14:textFill>
            <w14:solidFill>
              <w14:schemeClr w14:val="tx1"/>
            </w14:solidFill>
          </w14:textFill>
        </w:rPr>
        <w:t>建议标准</w:t>
      </w:r>
    </w:p>
    <w:p w14:paraId="39B93EFE">
      <w:pPr>
        <w:jc w:val="center"/>
        <w:rPr>
          <w:rFonts w:hint="eastAsia" w:ascii="方正小标宋简体" w:hAnsi="仿宋" w:eastAsia="方正小标宋简体" w:cs="仿宋"/>
          <w:color w:val="000000" w:themeColor="text1"/>
          <w:sz w:val="36"/>
          <w:szCs w:val="36"/>
          <w14:textFill>
            <w14:solidFill>
              <w14:schemeClr w14:val="tx1"/>
            </w14:solidFill>
          </w14:textFill>
        </w:rPr>
      </w:pPr>
    </w:p>
    <w:p w14:paraId="148547B3">
      <w:pPr>
        <w:jc w:val="center"/>
        <w:rPr>
          <w:rFonts w:hint="eastAsia" w:ascii="方正小标宋简体" w:hAnsi="仿宋" w:eastAsia="方正小标宋简体" w:cs="仿宋"/>
          <w:color w:val="000000" w:themeColor="text1"/>
          <w:sz w:val="36"/>
          <w:szCs w:val="36"/>
          <w14:textFill>
            <w14:solidFill>
              <w14:schemeClr w14:val="tx1"/>
            </w14:solidFill>
          </w14:textFill>
        </w:rPr>
      </w:pPr>
    </w:p>
    <w:p w14:paraId="533B96B7">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6A85022D">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4CFE43E4">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3D437D46">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03C83CCA">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6EAA82A7">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2092E04A">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0919E2AA">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08D9A5DC">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691B5949">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2A037F38">
      <w:pPr>
        <w:jc w:val="both"/>
        <w:rPr>
          <w:rFonts w:hint="eastAsia" w:ascii="方正小标宋简体" w:hAnsi="仿宋" w:eastAsia="方正小标宋简体" w:cs="仿宋"/>
          <w:color w:val="000000" w:themeColor="text1"/>
          <w:sz w:val="36"/>
          <w:szCs w:val="36"/>
          <w14:textFill>
            <w14:solidFill>
              <w14:schemeClr w14:val="tx1"/>
            </w14:solidFill>
          </w14:textFill>
        </w:rPr>
      </w:pPr>
    </w:p>
    <w:p w14:paraId="528ED6D4">
      <w:pPr>
        <w:jc w:val="center"/>
        <w:rPr>
          <w:rFonts w:ascii="方正小标宋简体" w:hAnsi="仿宋" w:eastAsia="方正小标宋简体" w:cs="仿宋"/>
          <w:color w:val="000000" w:themeColor="text1"/>
          <w:sz w:val="36"/>
          <w:szCs w:val="36"/>
          <w14:textFill>
            <w14:solidFill>
              <w14:schemeClr w14:val="tx1"/>
            </w14:solidFill>
          </w14:textFill>
        </w:rPr>
      </w:pPr>
      <w:r>
        <w:rPr>
          <w:rFonts w:hint="eastAsia" w:ascii="方正小标宋简体" w:hAnsi="仿宋" w:eastAsia="方正小标宋简体" w:cs="仿宋"/>
          <w:color w:val="000000" w:themeColor="text1"/>
          <w:sz w:val="36"/>
          <w:szCs w:val="36"/>
          <w14:textFill>
            <w14:solidFill>
              <w14:schemeClr w14:val="tx1"/>
            </w14:solidFill>
          </w14:textFill>
        </w:rPr>
        <w:t>包头市</w:t>
      </w:r>
      <w:r>
        <w:rPr>
          <w:rFonts w:hint="eastAsia" w:ascii="方正小标宋简体" w:hAnsi="仿宋" w:eastAsia="方正小标宋简体" w:cs="仿宋"/>
          <w:color w:val="000000" w:themeColor="text1"/>
          <w:sz w:val="36"/>
          <w:szCs w:val="36"/>
          <w:lang w:val="en-US" w:eastAsia="zh-CN"/>
          <w14:textFill>
            <w14:solidFill>
              <w14:schemeClr w14:val="tx1"/>
            </w14:solidFill>
          </w14:textFill>
        </w:rPr>
        <w:t>申请低保家庭</w:t>
      </w:r>
      <w:r>
        <w:rPr>
          <w:rFonts w:hint="eastAsia" w:ascii="方正小标宋简体" w:hAnsi="仿宋" w:eastAsia="方正小标宋简体" w:cs="仿宋"/>
          <w:color w:val="000000" w:themeColor="text1"/>
          <w:sz w:val="36"/>
          <w:szCs w:val="36"/>
          <w14:textFill>
            <w14:solidFill>
              <w14:schemeClr w14:val="tx1"/>
            </w14:solidFill>
          </w14:textFill>
        </w:rPr>
        <w:t>劳动力系数测算建议标准</w:t>
      </w:r>
    </w:p>
    <w:tbl>
      <w:tblPr>
        <w:tblStyle w:val="5"/>
        <w:tblpPr w:leftFromText="180" w:rightFromText="180" w:vertAnchor="text" w:horzAnchor="margin" w:tblpX="-118" w:tblpY="2"/>
        <w:tblW w:w="873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98"/>
        <w:gridCol w:w="932"/>
        <w:gridCol w:w="932"/>
        <w:gridCol w:w="1063"/>
        <w:gridCol w:w="1412"/>
      </w:tblGrid>
      <w:tr w14:paraId="7D875A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12" w:hRule="atLeast"/>
        </w:trPr>
        <w:tc>
          <w:tcPr>
            <w:tcW w:w="4398" w:type="dxa"/>
            <w:vMerge w:val="restart"/>
            <w:vAlign w:val="center"/>
          </w:tcPr>
          <w:p w14:paraId="7BD6C9DD">
            <w:pPr>
              <w:widowControl/>
              <w:spacing w:line="300" w:lineRule="exact"/>
              <w:ind w:left="-288" w:leftChars="-137" w:firstLine="304" w:firstLineChars="144"/>
              <w:jc w:val="center"/>
              <w:rPr>
                <w:rFonts w:ascii="仿宋" w:hAnsi="仿宋" w:eastAsia="仿宋" w:cs="仿宋"/>
                <w:b/>
                <w:color w:val="000000" w:themeColor="text1"/>
                <w:kern w:val="0"/>
                <w14:textFill>
                  <w14:solidFill>
                    <w14:schemeClr w14:val="tx1"/>
                  </w14:solidFill>
                </w14:textFill>
              </w:rPr>
            </w:pPr>
            <w:r>
              <w:rPr>
                <w:rFonts w:hint="eastAsia" w:ascii="仿宋" w:hAnsi="仿宋" w:eastAsia="仿宋" w:cs="仿宋"/>
                <w:b/>
                <w:color w:val="000000" w:themeColor="text1"/>
                <w:kern w:val="0"/>
                <w14:textFill>
                  <w14:solidFill>
                    <w14:schemeClr w14:val="tx1"/>
                  </w14:solidFill>
                </w14:textFill>
              </w:rPr>
              <w:t>类别及等级</w:t>
            </w:r>
          </w:p>
        </w:tc>
        <w:tc>
          <w:tcPr>
            <w:tcW w:w="932" w:type="dxa"/>
            <w:textDirection w:val="tbRlV"/>
            <w:vAlign w:val="center"/>
          </w:tcPr>
          <w:p w14:paraId="569993FF">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男18-50周岁（含）</w:t>
            </w:r>
          </w:p>
          <w:p w14:paraId="2FFAFF53">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女18-45周岁（含）</w:t>
            </w:r>
          </w:p>
        </w:tc>
        <w:tc>
          <w:tcPr>
            <w:tcW w:w="932" w:type="dxa"/>
            <w:textDirection w:val="tbRlV"/>
            <w:vAlign w:val="center"/>
          </w:tcPr>
          <w:p w14:paraId="412D1260">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男51-</w:t>
            </w:r>
            <w:r>
              <w:rPr>
                <w:rFonts w:hint="eastAsia" w:ascii="仿宋" w:hAnsi="仿宋" w:eastAsia="仿宋" w:cs="仿宋"/>
                <w:b/>
                <w:color w:val="000000" w:themeColor="text1"/>
                <w:kern w:val="0"/>
                <w:sz w:val="24"/>
                <w:szCs w:val="24"/>
                <w:lang w:val="en-US" w:eastAsia="zh-CN"/>
                <w14:textFill>
                  <w14:solidFill>
                    <w14:schemeClr w14:val="tx1"/>
                  </w14:solidFill>
                </w14:textFill>
              </w:rPr>
              <w:t>59</w:t>
            </w:r>
            <w:r>
              <w:rPr>
                <w:rFonts w:hint="eastAsia" w:ascii="仿宋" w:hAnsi="仿宋" w:eastAsia="仿宋" w:cs="仿宋"/>
                <w:b/>
                <w:color w:val="000000" w:themeColor="text1"/>
                <w:kern w:val="0"/>
                <w:sz w:val="24"/>
                <w:szCs w:val="24"/>
                <w14:textFill>
                  <w14:solidFill>
                    <w14:schemeClr w14:val="tx1"/>
                  </w14:solidFill>
                </w14:textFill>
              </w:rPr>
              <w:t>周岁（含）</w:t>
            </w:r>
          </w:p>
          <w:p w14:paraId="088B2675">
            <w:pPr>
              <w:widowControl/>
              <w:spacing w:line="300" w:lineRule="exact"/>
              <w:ind w:left="-288" w:leftChars="-137" w:right="113" w:firstLine="347" w:firstLineChars="144"/>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女46-5</w:t>
            </w:r>
            <w:r>
              <w:rPr>
                <w:rFonts w:hint="eastAsia" w:ascii="仿宋" w:hAnsi="仿宋" w:eastAsia="仿宋" w:cs="仿宋"/>
                <w:b/>
                <w:color w:val="000000" w:themeColor="text1"/>
                <w:kern w:val="0"/>
                <w:sz w:val="24"/>
                <w:szCs w:val="24"/>
                <w:lang w:val="en-US" w:eastAsia="zh-CN"/>
                <w14:textFill>
                  <w14:solidFill>
                    <w14:schemeClr w14:val="tx1"/>
                  </w14:solidFill>
                </w14:textFill>
              </w:rPr>
              <w:t>4</w:t>
            </w:r>
            <w:r>
              <w:rPr>
                <w:rFonts w:hint="eastAsia" w:ascii="仿宋" w:hAnsi="仿宋" w:eastAsia="仿宋" w:cs="仿宋"/>
                <w:b/>
                <w:color w:val="000000" w:themeColor="text1"/>
                <w:kern w:val="0"/>
                <w:sz w:val="24"/>
                <w:szCs w:val="24"/>
                <w14:textFill>
                  <w14:solidFill>
                    <w14:schemeClr w14:val="tx1"/>
                  </w14:solidFill>
                </w14:textFill>
              </w:rPr>
              <w:t>周岁（含）</w:t>
            </w:r>
          </w:p>
        </w:tc>
        <w:tc>
          <w:tcPr>
            <w:tcW w:w="1063" w:type="dxa"/>
            <w:textDirection w:val="tbRlV"/>
            <w:vAlign w:val="center"/>
          </w:tcPr>
          <w:p w14:paraId="5ECE9726">
            <w:pPr>
              <w:widowControl/>
              <w:spacing w:line="300" w:lineRule="exact"/>
              <w:ind w:left="113" w:right="113"/>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男6</w:t>
            </w:r>
            <w:r>
              <w:rPr>
                <w:rFonts w:hint="eastAsia" w:ascii="仿宋" w:hAnsi="仿宋" w:eastAsia="仿宋" w:cs="仿宋"/>
                <w:b/>
                <w:color w:val="000000" w:themeColor="text1"/>
                <w:kern w:val="0"/>
                <w:sz w:val="24"/>
                <w:szCs w:val="24"/>
                <w:lang w:val="en-US" w:eastAsia="zh-CN"/>
                <w14:textFill>
                  <w14:solidFill>
                    <w14:schemeClr w14:val="tx1"/>
                  </w14:solidFill>
                </w14:textFill>
              </w:rPr>
              <w:t>0</w:t>
            </w:r>
            <w:r>
              <w:rPr>
                <w:rFonts w:hint="eastAsia" w:ascii="仿宋" w:hAnsi="仿宋" w:eastAsia="仿宋" w:cs="仿宋"/>
                <w:b/>
                <w:color w:val="000000" w:themeColor="text1"/>
                <w:kern w:val="0"/>
                <w:sz w:val="24"/>
                <w:szCs w:val="24"/>
                <w14:textFill>
                  <w14:solidFill>
                    <w14:schemeClr w14:val="tx1"/>
                  </w14:solidFill>
                </w14:textFill>
              </w:rPr>
              <w:t>周岁</w:t>
            </w:r>
            <w:r>
              <w:rPr>
                <w:rFonts w:hint="eastAsia" w:ascii="仿宋" w:hAnsi="仿宋" w:eastAsia="仿宋" w:cs="仿宋"/>
                <w:b/>
                <w:color w:val="000000" w:themeColor="text1"/>
                <w:kern w:val="0"/>
                <w:sz w:val="24"/>
                <w:szCs w:val="24"/>
                <w:lang w:val="en-US" w:eastAsia="zh-CN"/>
                <w14:textFill>
                  <w14:solidFill>
                    <w14:schemeClr w14:val="tx1"/>
                  </w14:solidFill>
                </w14:textFill>
              </w:rPr>
              <w:t>及以上</w:t>
            </w:r>
          </w:p>
          <w:p w14:paraId="1E850510">
            <w:pPr>
              <w:widowControl/>
              <w:spacing w:line="300" w:lineRule="exact"/>
              <w:ind w:left="113" w:right="113"/>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女5</w:t>
            </w:r>
            <w:r>
              <w:rPr>
                <w:rFonts w:hint="eastAsia" w:ascii="仿宋" w:hAnsi="仿宋" w:eastAsia="仿宋" w:cs="仿宋"/>
                <w:b/>
                <w:color w:val="000000" w:themeColor="text1"/>
                <w:kern w:val="0"/>
                <w:sz w:val="24"/>
                <w:szCs w:val="24"/>
                <w:lang w:val="en-US" w:eastAsia="zh-CN"/>
                <w14:textFill>
                  <w14:solidFill>
                    <w14:schemeClr w14:val="tx1"/>
                  </w14:solidFill>
                </w14:textFill>
              </w:rPr>
              <w:t>5</w:t>
            </w:r>
            <w:r>
              <w:rPr>
                <w:rFonts w:hint="eastAsia" w:ascii="仿宋" w:hAnsi="仿宋" w:eastAsia="仿宋" w:cs="仿宋"/>
                <w:b/>
                <w:color w:val="000000" w:themeColor="text1"/>
                <w:kern w:val="0"/>
                <w:sz w:val="24"/>
                <w:szCs w:val="24"/>
                <w14:textFill>
                  <w14:solidFill>
                    <w14:schemeClr w14:val="tx1"/>
                  </w14:solidFill>
                </w14:textFill>
              </w:rPr>
              <w:t>周岁</w:t>
            </w:r>
            <w:r>
              <w:rPr>
                <w:rFonts w:hint="eastAsia" w:ascii="仿宋" w:hAnsi="仿宋" w:eastAsia="仿宋" w:cs="仿宋"/>
                <w:b/>
                <w:color w:val="000000" w:themeColor="text1"/>
                <w:kern w:val="0"/>
                <w:sz w:val="24"/>
                <w:szCs w:val="24"/>
                <w:lang w:val="en-US" w:eastAsia="zh-CN"/>
                <w14:textFill>
                  <w14:solidFill>
                    <w14:schemeClr w14:val="tx1"/>
                  </w14:solidFill>
                </w14:textFill>
              </w:rPr>
              <w:t>及以上</w:t>
            </w:r>
          </w:p>
        </w:tc>
        <w:tc>
          <w:tcPr>
            <w:tcW w:w="1412" w:type="dxa"/>
            <w:textDirection w:val="tbRlV"/>
            <w:vAlign w:val="center"/>
          </w:tcPr>
          <w:p w14:paraId="6C4F7281">
            <w:pPr>
              <w:widowControl/>
              <w:spacing w:line="300" w:lineRule="exact"/>
              <w:ind w:left="113" w:right="113"/>
              <w:jc w:val="center"/>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18周岁以下及在校学生</w:t>
            </w:r>
          </w:p>
        </w:tc>
      </w:tr>
      <w:tr w14:paraId="1FEF7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4398" w:type="dxa"/>
            <w:vMerge w:val="continue"/>
            <w:vAlign w:val="center"/>
          </w:tcPr>
          <w:p w14:paraId="3D44CC09">
            <w:pPr>
              <w:widowControl/>
              <w:spacing w:line="300" w:lineRule="exact"/>
              <w:jc w:val="center"/>
              <w:rPr>
                <w:rFonts w:ascii="仿宋" w:hAnsi="仿宋" w:eastAsia="仿宋" w:cs="仿宋"/>
                <w:b/>
                <w:color w:val="000000" w:themeColor="text1"/>
                <w:kern w:val="0"/>
                <w:sz w:val="36"/>
                <w:szCs w:val="36"/>
                <w14:textFill>
                  <w14:solidFill>
                    <w14:schemeClr w14:val="tx1"/>
                  </w14:solidFill>
                </w14:textFill>
              </w:rPr>
            </w:pPr>
          </w:p>
        </w:tc>
        <w:tc>
          <w:tcPr>
            <w:tcW w:w="932" w:type="dxa"/>
            <w:vAlign w:val="center"/>
          </w:tcPr>
          <w:p w14:paraId="4B413419">
            <w:pPr>
              <w:widowControl/>
              <w:spacing w:line="300" w:lineRule="exact"/>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1</w:t>
            </w:r>
          </w:p>
        </w:tc>
        <w:tc>
          <w:tcPr>
            <w:tcW w:w="932" w:type="dxa"/>
            <w:vAlign w:val="center"/>
          </w:tcPr>
          <w:p w14:paraId="0C65EABD">
            <w:pPr>
              <w:widowControl/>
              <w:spacing w:line="300" w:lineRule="exact"/>
              <w:ind w:left="-647" w:leftChars="-308" w:firstLine="693" w:firstLineChars="230"/>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 xml:space="preserve">  2</w:t>
            </w:r>
          </w:p>
        </w:tc>
        <w:tc>
          <w:tcPr>
            <w:tcW w:w="1063" w:type="dxa"/>
            <w:vAlign w:val="center"/>
          </w:tcPr>
          <w:p w14:paraId="0CF1155E">
            <w:pPr>
              <w:widowControl/>
              <w:spacing w:line="300" w:lineRule="exact"/>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3</w:t>
            </w:r>
          </w:p>
        </w:tc>
        <w:tc>
          <w:tcPr>
            <w:tcW w:w="1412" w:type="dxa"/>
            <w:vAlign w:val="center"/>
          </w:tcPr>
          <w:p w14:paraId="027D303E">
            <w:pPr>
              <w:widowControl/>
              <w:spacing w:line="300" w:lineRule="exact"/>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5</w:t>
            </w:r>
          </w:p>
        </w:tc>
      </w:tr>
      <w:tr w14:paraId="49594E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4398" w:type="dxa"/>
            <w:vAlign w:val="center"/>
          </w:tcPr>
          <w:p w14:paraId="7E23EC77">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有劳动能力人员</w:t>
            </w:r>
          </w:p>
        </w:tc>
        <w:tc>
          <w:tcPr>
            <w:tcW w:w="932" w:type="dxa"/>
            <w:vAlign w:val="center"/>
          </w:tcPr>
          <w:p w14:paraId="3AEF4210">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1</w:t>
            </w:r>
          </w:p>
        </w:tc>
        <w:tc>
          <w:tcPr>
            <w:tcW w:w="932" w:type="dxa"/>
            <w:vAlign w:val="center"/>
          </w:tcPr>
          <w:p w14:paraId="00AFE22A">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0.8</w:t>
            </w:r>
          </w:p>
        </w:tc>
        <w:tc>
          <w:tcPr>
            <w:tcW w:w="1063" w:type="dxa"/>
            <w:vAlign w:val="center"/>
          </w:tcPr>
          <w:p w14:paraId="042D38DB">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0108009A">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4E713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3B549BF5">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有部分劳动能力人员：</w:t>
            </w:r>
            <w:r>
              <w:rPr>
                <w:rFonts w:hint="eastAsia" w:ascii="仿宋_GB2312" w:hAnsi="仿宋" w:eastAsia="仿宋_GB2312" w:cs="仿宋"/>
                <w:bCs/>
                <w:color w:val="000000" w:themeColor="text1"/>
                <w:kern w:val="0"/>
                <w:sz w:val="24"/>
                <w14:textFill>
                  <w14:solidFill>
                    <w14:schemeClr w14:val="tx1"/>
                  </w14:solidFill>
                </w14:textFill>
              </w:rPr>
              <w:t>肢体残疾4级；语言听力残疾3、4级；</w:t>
            </w:r>
            <w:r>
              <w:rPr>
                <w:rFonts w:hint="eastAsia" w:ascii="仿宋_GB2312" w:hAnsi="仿宋" w:eastAsia="仿宋_GB2312" w:cs="仿宋"/>
                <w:bCs/>
                <w:color w:val="000000" w:themeColor="text1"/>
                <w:kern w:val="0"/>
                <w:sz w:val="24"/>
                <w14:textFill>
                  <w14:solidFill>
                    <w14:schemeClr w14:val="tx1"/>
                  </w14:solidFill>
                </w14:textFill>
              </w:rPr>
              <w:t>患有股骨头坏死、腰间盘突出、痛风、严重类风湿病等可能导致丧失劳动能力疾病，经医疗机构确诊为限制劳动能力或应休息静养的。</w:t>
            </w:r>
          </w:p>
        </w:tc>
        <w:tc>
          <w:tcPr>
            <w:tcW w:w="932" w:type="dxa"/>
            <w:vAlign w:val="center"/>
          </w:tcPr>
          <w:p w14:paraId="20951EC1">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r>
              <w:rPr>
                <w:rFonts w:ascii="仿宋" w:hAnsi="仿宋" w:eastAsia="仿宋" w:cs="仿宋"/>
                <w:b/>
                <w:color w:val="000000" w:themeColor="text1"/>
                <w:kern w:val="0"/>
                <w:sz w:val="28"/>
                <w:szCs w:val="28"/>
                <w14:textFill>
                  <w14:solidFill>
                    <w14:schemeClr w14:val="tx1"/>
                  </w14:solidFill>
                </w14:textFill>
              </w:rPr>
              <w:t>5</w:t>
            </w:r>
          </w:p>
        </w:tc>
        <w:tc>
          <w:tcPr>
            <w:tcW w:w="932" w:type="dxa"/>
            <w:vAlign w:val="center"/>
          </w:tcPr>
          <w:p w14:paraId="6373B84B">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r>
              <w:rPr>
                <w:rFonts w:ascii="仿宋" w:hAnsi="仿宋" w:eastAsia="仿宋" w:cs="仿宋"/>
                <w:b/>
                <w:color w:val="000000" w:themeColor="text1"/>
                <w:kern w:val="0"/>
                <w:sz w:val="28"/>
                <w:szCs w:val="28"/>
                <w14:textFill>
                  <w14:solidFill>
                    <w14:schemeClr w14:val="tx1"/>
                  </w14:solidFill>
                </w14:textFill>
              </w:rPr>
              <w:t>3</w:t>
            </w:r>
          </w:p>
        </w:tc>
        <w:tc>
          <w:tcPr>
            <w:tcW w:w="1063" w:type="dxa"/>
            <w:vAlign w:val="center"/>
          </w:tcPr>
          <w:p w14:paraId="44FB12BD">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7770DEB4">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7847B5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4CFB03FB">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有少部分劳动能力的残疾人员：</w:t>
            </w:r>
            <w:r>
              <w:rPr>
                <w:rFonts w:hint="eastAsia" w:ascii="仿宋_GB2312" w:hAnsi="仿宋" w:eastAsia="仿宋_GB2312" w:cs="仿宋"/>
                <w:bCs/>
                <w:color w:val="000000" w:themeColor="text1"/>
                <w:kern w:val="0"/>
                <w:sz w:val="24"/>
                <w14:textFill>
                  <w14:solidFill>
                    <w14:schemeClr w14:val="tx1"/>
                  </w14:solidFill>
                </w14:textFill>
              </w:rPr>
              <w:t>肢体残疾3级；语言听力残疾1、2级。</w:t>
            </w:r>
          </w:p>
        </w:tc>
        <w:tc>
          <w:tcPr>
            <w:tcW w:w="932" w:type="dxa"/>
            <w:vAlign w:val="center"/>
          </w:tcPr>
          <w:p w14:paraId="19416F73">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0.2</w:t>
            </w:r>
          </w:p>
        </w:tc>
        <w:tc>
          <w:tcPr>
            <w:tcW w:w="932" w:type="dxa"/>
            <w:vAlign w:val="center"/>
          </w:tcPr>
          <w:p w14:paraId="0667015B">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0.1</w:t>
            </w:r>
          </w:p>
        </w:tc>
        <w:tc>
          <w:tcPr>
            <w:tcW w:w="1063" w:type="dxa"/>
            <w:vAlign w:val="center"/>
          </w:tcPr>
          <w:p w14:paraId="2186EADE">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1FBBAED4">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7EBD7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34C09806">
            <w:pPr>
              <w:widowControl/>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无劳动能力的人员：</w:t>
            </w:r>
            <w:r>
              <w:rPr>
                <w:rFonts w:hint="eastAsia" w:ascii="仿宋_GB2312" w:hAnsi="Calibri" w:eastAsia="仿宋_GB2312" w:cs="Calibri"/>
                <w:color w:val="000000" w:themeColor="text1"/>
                <w:kern w:val="0"/>
                <w:sz w:val="24"/>
                <w:szCs w:val="24"/>
                <w14:textFill>
                  <w14:solidFill>
                    <w14:schemeClr w14:val="tx1"/>
                  </w14:solidFill>
                </w14:textFill>
              </w:rPr>
              <w:t>肢体残疾1、2级；智力、精神残疾1、2、3</w:t>
            </w:r>
            <w:r>
              <w:rPr>
                <w:rFonts w:hint="eastAsia" w:ascii="仿宋_GB2312" w:hAnsi="Calibri" w:eastAsia="仿宋_GB2312" w:cs="Calibri"/>
                <w:color w:val="000000" w:themeColor="text1"/>
                <w:kern w:val="0"/>
                <w:sz w:val="24"/>
                <w:szCs w:val="24"/>
                <w:lang w:eastAsia="zh-CN"/>
                <w14:textFill>
                  <w14:solidFill>
                    <w14:schemeClr w14:val="tx1"/>
                  </w14:solidFill>
                </w14:textFill>
              </w:rPr>
              <w:t>、</w:t>
            </w:r>
            <w:r>
              <w:rPr>
                <w:rFonts w:hint="eastAsia" w:ascii="仿宋_GB2312" w:hAnsi="Calibri" w:eastAsia="仿宋_GB2312" w:cs="Calibri"/>
                <w:color w:val="000000" w:themeColor="text1"/>
                <w:kern w:val="0"/>
                <w:sz w:val="24"/>
                <w:szCs w:val="24"/>
                <w:lang w:val="en-US" w:eastAsia="zh-CN"/>
                <w14:textFill>
                  <w14:solidFill>
                    <w14:schemeClr w14:val="tx1"/>
                  </w14:solidFill>
                </w14:textFill>
              </w:rPr>
              <w:t>4</w:t>
            </w:r>
            <w:r>
              <w:rPr>
                <w:rFonts w:hint="eastAsia" w:ascii="仿宋_GB2312" w:hAnsi="Calibri" w:eastAsia="仿宋_GB2312" w:cs="Calibri"/>
                <w:color w:val="000000" w:themeColor="text1"/>
                <w:kern w:val="0"/>
                <w:sz w:val="24"/>
                <w:szCs w:val="24"/>
                <w14:textFill>
                  <w14:solidFill>
                    <w14:schemeClr w14:val="tx1"/>
                  </w14:solidFill>
                </w14:textFill>
              </w:rPr>
              <w:t>级；视力残疾1、2级。生病住院期间、手术或骨折后6个月内视为无劳动能力。</w:t>
            </w:r>
          </w:p>
        </w:tc>
        <w:tc>
          <w:tcPr>
            <w:tcW w:w="932" w:type="dxa"/>
            <w:vAlign w:val="center"/>
          </w:tcPr>
          <w:p w14:paraId="760AFFF9">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32" w:type="dxa"/>
            <w:vAlign w:val="center"/>
          </w:tcPr>
          <w:p w14:paraId="235F0870">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063" w:type="dxa"/>
            <w:vAlign w:val="center"/>
          </w:tcPr>
          <w:p w14:paraId="6252B2F6">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49C60597">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4215E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p w14:paraId="60591C74">
            <w:pPr>
              <w:spacing w:line="300" w:lineRule="exact"/>
              <w:rPr>
                <w:rFonts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重病人员：</w:t>
            </w:r>
            <w:r>
              <w:rPr>
                <w:rFonts w:hint="eastAsia" w:ascii="仿宋_GB2312" w:hAnsi="仿宋" w:eastAsia="仿宋_GB2312" w:cs="仿宋"/>
                <w:bCs/>
                <w:color w:val="000000" w:themeColor="text1"/>
                <w:kern w:val="0"/>
                <w:sz w:val="24"/>
                <w14:textFill>
                  <w14:solidFill>
                    <w14:schemeClr w14:val="tx1"/>
                  </w14:solidFill>
                </w14:textFill>
              </w:rPr>
              <w:t>恶性肿瘤可以靶向药和免疫药物为依据确定。</w:t>
            </w:r>
          </w:p>
        </w:tc>
        <w:tc>
          <w:tcPr>
            <w:tcW w:w="932" w:type="dxa"/>
            <w:vAlign w:val="center"/>
          </w:tcPr>
          <w:p w14:paraId="418EDB25">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32" w:type="dxa"/>
            <w:vAlign w:val="center"/>
          </w:tcPr>
          <w:p w14:paraId="05D151C8">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063" w:type="dxa"/>
            <w:vAlign w:val="center"/>
          </w:tcPr>
          <w:p w14:paraId="0BECB3D9">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781D7F8B">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r w14:paraId="625ECB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8" w:type="dxa"/>
            <w:vAlign w:val="center"/>
          </w:tcPr>
          <w:tbl>
            <w:tblPr>
              <w:tblStyle w:val="5"/>
              <w:tblpPr w:leftFromText="180" w:rightFromText="180" w:vertAnchor="text" w:horzAnchor="margin" w:tblpY="2"/>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86"/>
              <w:gridCol w:w="992"/>
              <w:gridCol w:w="851"/>
              <w:gridCol w:w="992"/>
              <w:gridCol w:w="1134"/>
            </w:tblGrid>
            <w:tr w14:paraId="59292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46" w:hRule="atLeast"/>
              </w:trPr>
              <w:tc>
                <w:tcPr>
                  <w:tcW w:w="4786" w:type="dxa"/>
                  <w:vAlign w:val="center"/>
                </w:tcPr>
                <w:p w14:paraId="781B7A8E">
                  <w:pPr>
                    <w:widowControl/>
                    <w:spacing w:line="300" w:lineRule="exact"/>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慢性病人员：</w:t>
                  </w:r>
                  <w:r>
                    <w:rPr>
                      <w:rFonts w:hint="eastAsia" w:ascii="仿宋_GB2312" w:hAnsi="仿宋" w:eastAsia="仿宋_GB2312" w:cs="仿宋"/>
                      <w:bCs/>
                      <w:color w:val="000000" w:themeColor="text1"/>
                      <w:kern w:val="0"/>
                      <w:sz w:val="24"/>
                      <w14:textFill>
                        <w14:solidFill>
                          <w14:schemeClr w14:val="tx1"/>
                        </w14:solidFill>
                      </w14:textFill>
                    </w:rPr>
                    <w:t>以医疗保障部门发布的门诊特</w:t>
                  </w:r>
                  <w:r>
                    <w:rPr>
                      <w:rFonts w:hint="eastAsia" w:ascii="仿宋_GB2312" w:hAnsi="仿宋" w:eastAsia="仿宋_GB2312" w:cs="仿宋"/>
                      <w:bCs/>
                      <w:color w:val="000000" w:themeColor="text1"/>
                      <w:kern w:val="0"/>
                      <w:sz w:val="24"/>
                      <w:lang w:val="en-US" w:eastAsia="zh-CN"/>
                      <w14:textFill>
                        <w14:solidFill>
                          <w14:schemeClr w14:val="tx1"/>
                        </w14:solidFill>
                      </w14:textFill>
                    </w:rPr>
                    <w:t>特</w:t>
                  </w:r>
                  <w:r>
                    <w:rPr>
                      <w:rFonts w:hint="eastAsia" w:ascii="仿宋_GB2312" w:hAnsi="仿宋" w:eastAsia="仿宋_GB2312" w:cs="仿宋"/>
                      <w:bCs/>
                      <w:color w:val="000000" w:themeColor="text1"/>
                      <w:kern w:val="0"/>
                      <w:sz w:val="24"/>
                      <w14:textFill>
                        <w14:solidFill>
                          <w14:schemeClr w14:val="tx1"/>
                        </w14:solidFill>
                      </w14:textFill>
                    </w:rPr>
                    <w:t>殊慢性病病种范围为准。</w:t>
                  </w:r>
                </w:p>
              </w:tc>
              <w:tc>
                <w:tcPr>
                  <w:tcW w:w="992" w:type="dxa"/>
                  <w:vAlign w:val="center"/>
                </w:tcPr>
                <w:p w14:paraId="22E5A928">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851" w:type="dxa"/>
                  <w:vAlign w:val="center"/>
                </w:tcPr>
                <w:p w14:paraId="0CF8FAEC">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92" w:type="dxa"/>
                  <w:vAlign w:val="center"/>
                </w:tcPr>
                <w:p w14:paraId="1CD86DDB">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134" w:type="dxa"/>
                  <w:vAlign w:val="center"/>
                </w:tcPr>
                <w:p w14:paraId="619EE01D">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bl>
          <w:p w14:paraId="5D3C4B64">
            <w:pPr>
              <w:spacing w:line="300" w:lineRule="exact"/>
              <w:rPr>
                <w:rFonts w:ascii="仿宋" w:hAnsi="仿宋" w:eastAsia="仿宋" w:cs="仿宋"/>
                <w:b/>
                <w:color w:val="000000" w:themeColor="text1"/>
                <w:kern w:val="0"/>
                <w:sz w:val="24"/>
                <w14:textFill>
                  <w14:solidFill>
                    <w14:schemeClr w14:val="tx1"/>
                  </w14:solidFill>
                </w14:textFill>
              </w:rPr>
            </w:pPr>
          </w:p>
        </w:tc>
        <w:tc>
          <w:tcPr>
            <w:tcW w:w="932" w:type="dxa"/>
            <w:vAlign w:val="center"/>
          </w:tcPr>
          <w:p w14:paraId="4BA65760">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932" w:type="dxa"/>
            <w:vAlign w:val="center"/>
          </w:tcPr>
          <w:p w14:paraId="1620CF34">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063" w:type="dxa"/>
            <w:vAlign w:val="center"/>
          </w:tcPr>
          <w:p w14:paraId="5E51168D">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c>
          <w:tcPr>
            <w:tcW w:w="1412" w:type="dxa"/>
            <w:vAlign w:val="center"/>
          </w:tcPr>
          <w:p w14:paraId="24C23D80">
            <w:pPr>
              <w:widowControl/>
              <w:spacing w:line="300" w:lineRule="exact"/>
              <w:jc w:val="center"/>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0</w:t>
            </w:r>
          </w:p>
        </w:tc>
      </w:tr>
    </w:tbl>
    <w:tbl>
      <w:tblPr>
        <w:tblStyle w:val="5"/>
        <w:tblW w:w="0" w:type="auto"/>
        <w:tblInd w:w="0" w:type="dxa"/>
        <w:shd w:val="clear" w:color="auto" w:fill="FFFFFF"/>
        <w:tblLayout w:type="autofit"/>
        <w:tblCellMar>
          <w:top w:w="0" w:type="dxa"/>
          <w:left w:w="0" w:type="dxa"/>
          <w:bottom w:w="0" w:type="dxa"/>
          <w:right w:w="0" w:type="dxa"/>
        </w:tblCellMar>
      </w:tblPr>
      <w:tblGrid>
        <w:gridCol w:w="8528"/>
      </w:tblGrid>
      <w:tr w14:paraId="03B29BC5">
        <w:tblPrEx>
          <w:shd w:val="clear" w:color="auto" w:fill="FFFFFF"/>
          <w:tblCellMar>
            <w:top w:w="0" w:type="dxa"/>
            <w:left w:w="0" w:type="dxa"/>
            <w:bottom w:w="0" w:type="dxa"/>
            <w:right w:w="0" w:type="dxa"/>
          </w:tblCellMar>
        </w:tblPrEx>
        <w:trPr>
          <w:trHeight w:val="1533" w:hRule="atLeast"/>
        </w:trPr>
        <w:tc>
          <w:tcPr>
            <w:tcW w:w="8528" w:type="dxa"/>
            <w:tcBorders>
              <w:top w:val="nil"/>
              <w:left w:val="nil"/>
              <w:bottom w:val="nil"/>
              <w:right w:val="nil"/>
            </w:tcBorders>
            <w:shd w:val="clear" w:color="auto" w:fill="FFFFFF"/>
            <w:tcMar>
              <w:top w:w="0" w:type="dxa"/>
              <w:left w:w="108" w:type="dxa"/>
              <w:bottom w:w="0" w:type="dxa"/>
              <w:right w:w="108" w:type="dxa"/>
            </w:tcMar>
            <w:vAlign w:val="center"/>
          </w:tcPr>
          <w:p w14:paraId="6F1C55AB">
            <w:pPr>
              <w:ind w:firstLine="240" w:firstLineChars="100"/>
              <w:jc w:val="left"/>
              <w:rPr>
                <w:rFonts w:hint="eastAsia" w:ascii="仿宋_GB2312" w:hAnsi="仿宋_GB2312" w:eastAsia="仿宋_GB2312" w:cs="仿宋_GB2312"/>
                <w:color w:val="000000" w:themeColor="text1"/>
                <w:sz w:val="24"/>
                <w:szCs w:val="24"/>
                <w:highlight w:val="none"/>
                <w:u w:val="none" w:color="auto"/>
                <w:vertAlign w:val="baseline"/>
                <w:lang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说明：1.劳动力系数是根据低保申请家庭成员的性别、年龄和身体健康状况（残疾程度、患病情况等）得出的劳动力水平参数。2.本标准为建议标准，各旗县区人民政府民政部门可参照此标准，根据地方实际情况制定当地劳动力系数标准。3.当人员类别重复时，劳动力系数按较低的计算。4.多重残疾人员劳动力系数的核定，按多重残疾中残疾等级较重的核定出个人劳动力系数，计算其收入。</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5.低保评定中可参考的重病病种：</w:t>
            </w:r>
            <w:r>
              <w:rPr>
                <w:rFonts w:hint="eastAsia" w:ascii="仿宋_GB2312" w:hAnsi="仿宋_GB2312" w:eastAsia="仿宋_GB2312" w:cs="仿宋_GB2312"/>
                <w:color w:val="000000" w:themeColor="text1"/>
                <w:sz w:val="24"/>
                <w:szCs w:val="24"/>
                <w:highlight w:val="none"/>
                <w:u w:val="none" w:color="auto"/>
                <w:vertAlign w:val="baseline"/>
                <w:lang w:eastAsia="zh-CN"/>
                <w14:textFill>
                  <w14:solidFill>
                    <w14:schemeClr w14:val="tx1"/>
                  </w14:solidFill>
                </w14:textFill>
              </w:rPr>
              <w:t>食道癌、胃癌、结肠癌、终末期肾病、儿童白血病、儿童先天性心脏病、肺癌、肝癌、乳腺癌、宫颈癌、急性心肌梗死、白内障、尘肺、神经母细胞瘤、儿童淋巴瘤、骨肉瘤、血友病、地中海贫血、唇腭裂、尿道下裂、甲状腺癌、前列腺癌、耐多药结核病、脑卒中、慢性阻塞行肺气肿、艾滋病机会感染、膀胱癌、卵巢癌、肾癌、重性精神病、风湿性心脏病、重要器官移植、苯丙酮尿症、产科急危重症、布鲁氏杆菌病、各种恶性肿瘤以及当地政府认定应纳入重病范围的其他疾病。</w:t>
            </w:r>
          </w:p>
          <w:p w14:paraId="20D25A3E">
            <w:pPr>
              <w:widowControl/>
              <w:rPr>
                <w:rFonts w:hint="default" w:ascii="Calibri" w:hAnsi="Calibri" w:eastAsia="仿宋_GB2312" w:cs="Calibri"/>
                <w:color w:val="000000" w:themeColor="text1"/>
                <w:kern w:val="0"/>
                <w:sz w:val="24"/>
                <w:szCs w:val="24"/>
                <w:lang w:val="en-US" w:eastAsia="zh-CN"/>
                <w14:textFill>
                  <w14:solidFill>
                    <w14:schemeClr w14:val="tx1"/>
                  </w14:solidFill>
                </w14:textFill>
              </w:rPr>
            </w:pPr>
          </w:p>
        </w:tc>
      </w:tr>
    </w:tbl>
    <w:p w14:paraId="076B65EE">
      <w:pPr>
        <w:rPr>
          <w:rFonts w:ascii="仿宋_GB2312" w:eastAsia="仿宋_GB2312"/>
          <w:color w:val="000000" w:themeColor="text1"/>
          <w:sz w:val="32"/>
          <w:szCs w:val="32"/>
          <w14:textFill>
            <w14:solidFill>
              <w14:schemeClr w14:val="tx1"/>
            </w14:solidFill>
          </w14:textFill>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87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789B4">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7E789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FF752"/>
    <w:multiLevelType w:val="singleLevel"/>
    <w:tmpl w:val="CBFFF752"/>
    <w:lvl w:ilvl="0" w:tentative="0">
      <w:start w:val="3"/>
      <w:numFmt w:val="decimal"/>
      <w:suff w:val="nothing"/>
      <w:lvlText w:val="（%1）"/>
      <w:lvlJc w:val="left"/>
    </w:lvl>
  </w:abstractNum>
  <w:abstractNum w:abstractNumId="1">
    <w:nsid w:val="2E6B0EFE"/>
    <w:multiLevelType w:val="singleLevel"/>
    <w:tmpl w:val="2E6B0EF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DE5OGE3OTVhNGU1YmUwZTM5MTQ0NjI0ZmUwOGYifQ=="/>
  </w:docVars>
  <w:rsids>
    <w:rsidRoot w:val="006E3616"/>
    <w:rsid w:val="00000CF8"/>
    <w:rsid w:val="00031905"/>
    <w:rsid w:val="000349AB"/>
    <w:rsid w:val="00052024"/>
    <w:rsid w:val="000656A6"/>
    <w:rsid w:val="00072732"/>
    <w:rsid w:val="00092E70"/>
    <w:rsid w:val="000A3E3C"/>
    <w:rsid w:val="000D59AB"/>
    <w:rsid w:val="000F5F53"/>
    <w:rsid w:val="00111F00"/>
    <w:rsid w:val="00124B58"/>
    <w:rsid w:val="001527E2"/>
    <w:rsid w:val="001B0415"/>
    <w:rsid w:val="001C2670"/>
    <w:rsid w:val="001C7F1E"/>
    <w:rsid w:val="001D4507"/>
    <w:rsid w:val="002045B8"/>
    <w:rsid w:val="00205147"/>
    <w:rsid w:val="00205D5D"/>
    <w:rsid w:val="00213F88"/>
    <w:rsid w:val="002576B6"/>
    <w:rsid w:val="00266095"/>
    <w:rsid w:val="0029318F"/>
    <w:rsid w:val="002C0C6A"/>
    <w:rsid w:val="002C738B"/>
    <w:rsid w:val="00300A90"/>
    <w:rsid w:val="0033088E"/>
    <w:rsid w:val="003408B0"/>
    <w:rsid w:val="003E30FE"/>
    <w:rsid w:val="00426150"/>
    <w:rsid w:val="004379C5"/>
    <w:rsid w:val="00443089"/>
    <w:rsid w:val="00447CDC"/>
    <w:rsid w:val="004505E1"/>
    <w:rsid w:val="00451D83"/>
    <w:rsid w:val="00462481"/>
    <w:rsid w:val="00475CBC"/>
    <w:rsid w:val="004A0209"/>
    <w:rsid w:val="004A0FB6"/>
    <w:rsid w:val="004C7E22"/>
    <w:rsid w:val="004E0AC6"/>
    <w:rsid w:val="004E32AF"/>
    <w:rsid w:val="005126FD"/>
    <w:rsid w:val="00513758"/>
    <w:rsid w:val="0057015C"/>
    <w:rsid w:val="005857D6"/>
    <w:rsid w:val="005A224C"/>
    <w:rsid w:val="005D1948"/>
    <w:rsid w:val="005D4603"/>
    <w:rsid w:val="0060183F"/>
    <w:rsid w:val="00601EB0"/>
    <w:rsid w:val="00606F53"/>
    <w:rsid w:val="00622BC4"/>
    <w:rsid w:val="0062734E"/>
    <w:rsid w:val="0064534A"/>
    <w:rsid w:val="00654B6D"/>
    <w:rsid w:val="00690773"/>
    <w:rsid w:val="006C1324"/>
    <w:rsid w:val="006E3616"/>
    <w:rsid w:val="006E510C"/>
    <w:rsid w:val="006F6770"/>
    <w:rsid w:val="00712235"/>
    <w:rsid w:val="007354C1"/>
    <w:rsid w:val="007379B5"/>
    <w:rsid w:val="007568BD"/>
    <w:rsid w:val="0077712F"/>
    <w:rsid w:val="007975FB"/>
    <w:rsid w:val="007C159A"/>
    <w:rsid w:val="007C77C6"/>
    <w:rsid w:val="007D52AF"/>
    <w:rsid w:val="007D6080"/>
    <w:rsid w:val="007F1431"/>
    <w:rsid w:val="00806156"/>
    <w:rsid w:val="008070AD"/>
    <w:rsid w:val="008078B0"/>
    <w:rsid w:val="00812943"/>
    <w:rsid w:val="008348C4"/>
    <w:rsid w:val="00840A34"/>
    <w:rsid w:val="008927BA"/>
    <w:rsid w:val="008E0A4D"/>
    <w:rsid w:val="008F5064"/>
    <w:rsid w:val="0091039C"/>
    <w:rsid w:val="00910A9B"/>
    <w:rsid w:val="00943343"/>
    <w:rsid w:val="0098090C"/>
    <w:rsid w:val="00991540"/>
    <w:rsid w:val="009A34B8"/>
    <w:rsid w:val="009E25D4"/>
    <w:rsid w:val="009E62F9"/>
    <w:rsid w:val="00A05F6E"/>
    <w:rsid w:val="00A34437"/>
    <w:rsid w:val="00A70CCF"/>
    <w:rsid w:val="00A74D12"/>
    <w:rsid w:val="00A86114"/>
    <w:rsid w:val="00AB6BAF"/>
    <w:rsid w:val="00AC6EF8"/>
    <w:rsid w:val="00B22F6B"/>
    <w:rsid w:val="00B41BE1"/>
    <w:rsid w:val="00B5695A"/>
    <w:rsid w:val="00B9386F"/>
    <w:rsid w:val="00BA3352"/>
    <w:rsid w:val="00C52EF7"/>
    <w:rsid w:val="00C82464"/>
    <w:rsid w:val="00C84EEA"/>
    <w:rsid w:val="00D17296"/>
    <w:rsid w:val="00D363EB"/>
    <w:rsid w:val="00D87661"/>
    <w:rsid w:val="00DB62F5"/>
    <w:rsid w:val="00DD62FE"/>
    <w:rsid w:val="00DE3764"/>
    <w:rsid w:val="00E07661"/>
    <w:rsid w:val="00E11D8A"/>
    <w:rsid w:val="00E14DAA"/>
    <w:rsid w:val="00E1574B"/>
    <w:rsid w:val="00E24CFF"/>
    <w:rsid w:val="00E32E6B"/>
    <w:rsid w:val="00E40AEA"/>
    <w:rsid w:val="00E73846"/>
    <w:rsid w:val="00EB69D3"/>
    <w:rsid w:val="00EF7C42"/>
    <w:rsid w:val="00F5702A"/>
    <w:rsid w:val="00F724D3"/>
    <w:rsid w:val="00F931F6"/>
    <w:rsid w:val="00FB3303"/>
    <w:rsid w:val="00FD058E"/>
    <w:rsid w:val="00FD17EA"/>
    <w:rsid w:val="00FE63A1"/>
    <w:rsid w:val="00FE6835"/>
    <w:rsid w:val="02922C89"/>
    <w:rsid w:val="02935D81"/>
    <w:rsid w:val="03A5079A"/>
    <w:rsid w:val="04365896"/>
    <w:rsid w:val="04C64E6C"/>
    <w:rsid w:val="051A3C52"/>
    <w:rsid w:val="05DE7F94"/>
    <w:rsid w:val="06620BC5"/>
    <w:rsid w:val="077F25A1"/>
    <w:rsid w:val="07EA7730"/>
    <w:rsid w:val="08581A70"/>
    <w:rsid w:val="08607386"/>
    <w:rsid w:val="087B7D1C"/>
    <w:rsid w:val="088B6904"/>
    <w:rsid w:val="089F4205"/>
    <w:rsid w:val="08CD7C57"/>
    <w:rsid w:val="08D35DAA"/>
    <w:rsid w:val="09542264"/>
    <w:rsid w:val="095E38C5"/>
    <w:rsid w:val="097222C2"/>
    <w:rsid w:val="09811362"/>
    <w:rsid w:val="0A155730"/>
    <w:rsid w:val="0C1E4DF1"/>
    <w:rsid w:val="0C246346"/>
    <w:rsid w:val="0C6A78B2"/>
    <w:rsid w:val="0C9B7CC9"/>
    <w:rsid w:val="0DED5218"/>
    <w:rsid w:val="0E15651D"/>
    <w:rsid w:val="0EAE5593"/>
    <w:rsid w:val="0F6B6D3C"/>
    <w:rsid w:val="0F9131B4"/>
    <w:rsid w:val="100C1890"/>
    <w:rsid w:val="10594DE6"/>
    <w:rsid w:val="110B781C"/>
    <w:rsid w:val="1255782F"/>
    <w:rsid w:val="138B77A7"/>
    <w:rsid w:val="13AE71F7"/>
    <w:rsid w:val="13C95DDF"/>
    <w:rsid w:val="149D0962"/>
    <w:rsid w:val="14FB2910"/>
    <w:rsid w:val="1626576B"/>
    <w:rsid w:val="16E573D4"/>
    <w:rsid w:val="16E86EC4"/>
    <w:rsid w:val="16FE1189"/>
    <w:rsid w:val="17090292"/>
    <w:rsid w:val="170C256E"/>
    <w:rsid w:val="17CF1E32"/>
    <w:rsid w:val="17FA4FEF"/>
    <w:rsid w:val="18360DD0"/>
    <w:rsid w:val="18DF1BA7"/>
    <w:rsid w:val="19004993"/>
    <w:rsid w:val="19235F91"/>
    <w:rsid w:val="19374580"/>
    <w:rsid w:val="19E7147B"/>
    <w:rsid w:val="1A3E04B3"/>
    <w:rsid w:val="1AB62E35"/>
    <w:rsid w:val="1B192C1C"/>
    <w:rsid w:val="1CB33990"/>
    <w:rsid w:val="1D774AFE"/>
    <w:rsid w:val="1E6C24FF"/>
    <w:rsid w:val="1E846B7E"/>
    <w:rsid w:val="1EE34D09"/>
    <w:rsid w:val="20653333"/>
    <w:rsid w:val="21E97319"/>
    <w:rsid w:val="21F44116"/>
    <w:rsid w:val="22046BDF"/>
    <w:rsid w:val="22385012"/>
    <w:rsid w:val="229F5263"/>
    <w:rsid w:val="233174FD"/>
    <w:rsid w:val="23A51BD4"/>
    <w:rsid w:val="24454F72"/>
    <w:rsid w:val="24D46CDA"/>
    <w:rsid w:val="24D523A7"/>
    <w:rsid w:val="252C0DB5"/>
    <w:rsid w:val="259D38C3"/>
    <w:rsid w:val="25CB1E8B"/>
    <w:rsid w:val="26302253"/>
    <w:rsid w:val="267D5914"/>
    <w:rsid w:val="26EB3E67"/>
    <w:rsid w:val="27816E34"/>
    <w:rsid w:val="2795385E"/>
    <w:rsid w:val="28CF089B"/>
    <w:rsid w:val="297445E7"/>
    <w:rsid w:val="29A70979"/>
    <w:rsid w:val="29E375E8"/>
    <w:rsid w:val="2A00095C"/>
    <w:rsid w:val="2A045450"/>
    <w:rsid w:val="2ADF3CE2"/>
    <w:rsid w:val="2B0F6376"/>
    <w:rsid w:val="2B86539D"/>
    <w:rsid w:val="2CC605AE"/>
    <w:rsid w:val="2CCC7570"/>
    <w:rsid w:val="2D325186"/>
    <w:rsid w:val="2DEC5645"/>
    <w:rsid w:val="2EE3532E"/>
    <w:rsid w:val="2F261EE0"/>
    <w:rsid w:val="2F4B5DEA"/>
    <w:rsid w:val="2F4F019D"/>
    <w:rsid w:val="2F561738"/>
    <w:rsid w:val="306B5DF7"/>
    <w:rsid w:val="30755617"/>
    <w:rsid w:val="307B60BB"/>
    <w:rsid w:val="31085D41"/>
    <w:rsid w:val="317258B0"/>
    <w:rsid w:val="31C43C21"/>
    <w:rsid w:val="323572CB"/>
    <w:rsid w:val="32AD714D"/>
    <w:rsid w:val="32CA5590"/>
    <w:rsid w:val="32D00AE0"/>
    <w:rsid w:val="33E7520D"/>
    <w:rsid w:val="35343839"/>
    <w:rsid w:val="36741E78"/>
    <w:rsid w:val="369C6CCD"/>
    <w:rsid w:val="375253BB"/>
    <w:rsid w:val="375A71E3"/>
    <w:rsid w:val="37D8524A"/>
    <w:rsid w:val="38262F51"/>
    <w:rsid w:val="3885236D"/>
    <w:rsid w:val="39D76BF8"/>
    <w:rsid w:val="3A3278B9"/>
    <w:rsid w:val="3A571AE7"/>
    <w:rsid w:val="3B2D626B"/>
    <w:rsid w:val="3B903225"/>
    <w:rsid w:val="3BD406CD"/>
    <w:rsid w:val="3CA07FB4"/>
    <w:rsid w:val="3CD15B81"/>
    <w:rsid w:val="3DD7038D"/>
    <w:rsid w:val="3E23240C"/>
    <w:rsid w:val="3E7B70C5"/>
    <w:rsid w:val="3EE35DA5"/>
    <w:rsid w:val="3EF36562"/>
    <w:rsid w:val="3EF44F4D"/>
    <w:rsid w:val="3EF76F56"/>
    <w:rsid w:val="3F53097E"/>
    <w:rsid w:val="3F812156"/>
    <w:rsid w:val="4009431D"/>
    <w:rsid w:val="408B151C"/>
    <w:rsid w:val="41A43864"/>
    <w:rsid w:val="42F02AD9"/>
    <w:rsid w:val="430732B2"/>
    <w:rsid w:val="43384003"/>
    <w:rsid w:val="44610641"/>
    <w:rsid w:val="44A77F89"/>
    <w:rsid w:val="44C935E1"/>
    <w:rsid w:val="457B7513"/>
    <w:rsid w:val="47276FF8"/>
    <w:rsid w:val="47762884"/>
    <w:rsid w:val="48F6071D"/>
    <w:rsid w:val="49E2197A"/>
    <w:rsid w:val="49F26267"/>
    <w:rsid w:val="4A1C41B3"/>
    <w:rsid w:val="4A745D9D"/>
    <w:rsid w:val="4AF018C8"/>
    <w:rsid w:val="4BA732F7"/>
    <w:rsid w:val="4BD15B75"/>
    <w:rsid w:val="4BF57AB9"/>
    <w:rsid w:val="4C211F55"/>
    <w:rsid w:val="4D1E25F9"/>
    <w:rsid w:val="4D9C5DD1"/>
    <w:rsid w:val="4E05469C"/>
    <w:rsid w:val="4E4F2376"/>
    <w:rsid w:val="4F7277CD"/>
    <w:rsid w:val="4F820F5D"/>
    <w:rsid w:val="4F9B5310"/>
    <w:rsid w:val="50B26307"/>
    <w:rsid w:val="51146C5A"/>
    <w:rsid w:val="512C3213"/>
    <w:rsid w:val="529C4428"/>
    <w:rsid w:val="534529CD"/>
    <w:rsid w:val="53494075"/>
    <w:rsid w:val="54CB3910"/>
    <w:rsid w:val="55C23ED0"/>
    <w:rsid w:val="56186177"/>
    <w:rsid w:val="56293CBF"/>
    <w:rsid w:val="56F42740"/>
    <w:rsid w:val="575575BD"/>
    <w:rsid w:val="579201F3"/>
    <w:rsid w:val="57AE6D93"/>
    <w:rsid w:val="584A11EE"/>
    <w:rsid w:val="592E4EC1"/>
    <w:rsid w:val="593B20F1"/>
    <w:rsid w:val="596836A7"/>
    <w:rsid w:val="597F3763"/>
    <w:rsid w:val="59C97B27"/>
    <w:rsid w:val="59EF01CB"/>
    <w:rsid w:val="5A2C0C87"/>
    <w:rsid w:val="5B93213D"/>
    <w:rsid w:val="5BC05029"/>
    <w:rsid w:val="5C0C3CFF"/>
    <w:rsid w:val="5C404212"/>
    <w:rsid w:val="5DA54437"/>
    <w:rsid w:val="5DB22A0D"/>
    <w:rsid w:val="5DE562B2"/>
    <w:rsid w:val="5E3E42E7"/>
    <w:rsid w:val="5EC7698C"/>
    <w:rsid w:val="5ED13367"/>
    <w:rsid w:val="5ED54CDD"/>
    <w:rsid w:val="60DE79C3"/>
    <w:rsid w:val="60EB26E4"/>
    <w:rsid w:val="618F3EEB"/>
    <w:rsid w:val="621E0449"/>
    <w:rsid w:val="622E5ACE"/>
    <w:rsid w:val="62311C79"/>
    <w:rsid w:val="62652744"/>
    <w:rsid w:val="629F27A9"/>
    <w:rsid w:val="635C0D91"/>
    <w:rsid w:val="643C1631"/>
    <w:rsid w:val="64602F29"/>
    <w:rsid w:val="648913DD"/>
    <w:rsid w:val="64D37E39"/>
    <w:rsid w:val="65100093"/>
    <w:rsid w:val="65197815"/>
    <w:rsid w:val="653D2954"/>
    <w:rsid w:val="65457EE3"/>
    <w:rsid w:val="657038D9"/>
    <w:rsid w:val="665B4C9E"/>
    <w:rsid w:val="668229B8"/>
    <w:rsid w:val="66A1641D"/>
    <w:rsid w:val="673D5A3D"/>
    <w:rsid w:val="674C0AD9"/>
    <w:rsid w:val="675A2B11"/>
    <w:rsid w:val="676A3918"/>
    <w:rsid w:val="68C301C4"/>
    <w:rsid w:val="69197DE4"/>
    <w:rsid w:val="69200ED4"/>
    <w:rsid w:val="69224860"/>
    <w:rsid w:val="69266256"/>
    <w:rsid w:val="69D72179"/>
    <w:rsid w:val="6A327969"/>
    <w:rsid w:val="6B2177E4"/>
    <w:rsid w:val="6C0312FE"/>
    <w:rsid w:val="6C341F6F"/>
    <w:rsid w:val="6C5339E3"/>
    <w:rsid w:val="6D416038"/>
    <w:rsid w:val="6DCC4FD5"/>
    <w:rsid w:val="6DDD6D7A"/>
    <w:rsid w:val="6E1F7C4B"/>
    <w:rsid w:val="6E4042AE"/>
    <w:rsid w:val="6E866FD3"/>
    <w:rsid w:val="6F3050DF"/>
    <w:rsid w:val="700011E9"/>
    <w:rsid w:val="700417EE"/>
    <w:rsid w:val="70630652"/>
    <w:rsid w:val="70FE1851"/>
    <w:rsid w:val="713741DD"/>
    <w:rsid w:val="71902C0D"/>
    <w:rsid w:val="72843689"/>
    <w:rsid w:val="72851CFD"/>
    <w:rsid w:val="7285656B"/>
    <w:rsid w:val="72904220"/>
    <w:rsid w:val="72E01973"/>
    <w:rsid w:val="730D5199"/>
    <w:rsid w:val="738A1AE9"/>
    <w:rsid w:val="74B7525B"/>
    <w:rsid w:val="74C276BA"/>
    <w:rsid w:val="75836D32"/>
    <w:rsid w:val="75872134"/>
    <w:rsid w:val="76CD65D4"/>
    <w:rsid w:val="76FA3D9F"/>
    <w:rsid w:val="770519A8"/>
    <w:rsid w:val="77AC3E86"/>
    <w:rsid w:val="77BF03A9"/>
    <w:rsid w:val="77E5555E"/>
    <w:rsid w:val="78DC71F9"/>
    <w:rsid w:val="78FA2563"/>
    <w:rsid w:val="79245057"/>
    <w:rsid w:val="7A0569E7"/>
    <w:rsid w:val="7A0B5527"/>
    <w:rsid w:val="7A7C4677"/>
    <w:rsid w:val="7AC8166A"/>
    <w:rsid w:val="7AE74AB5"/>
    <w:rsid w:val="7B470F2D"/>
    <w:rsid w:val="7C2912DE"/>
    <w:rsid w:val="7CEE2B0C"/>
    <w:rsid w:val="7CF46070"/>
    <w:rsid w:val="7D4177EF"/>
    <w:rsid w:val="7D5F41FC"/>
    <w:rsid w:val="7DF13B08"/>
    <w:rsid w:val="7E885398"/>
    <w:rsid w:val="7F4D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13182</Words>
  <Characters>13344</Characters>
  <Lines>95</Lines>
  <Paragraphs>26</Paragraphs>
  <TotalTime>0</TotalTime>
  <ScaleCrop>false</ScaleCrop>
  <LinksUpToDate>false</LinksUpToDate>
  <CharactersWithSpaces>13475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2023-09-13T01:57:00Z</dcterms:created>
  <dc:creator>btmz_mei@163.com</dc:creator>
  <cp:lastModifiedBy>LENOVO</cp:lastModifiedBy>
  <cp:lastPrinted>2024-03-14T02:26:00Z</cp:lastPrinted>
  <dcterms:modified xsi:type="dcterms:W3CDTF">2024-08-12T02:13:00Z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4615F6BEF77A4D548853D8DBA7D912CA_13</vt:lpwstr>
  </property>
</Properties>
</file>