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社会组织意识形态工作和诚信自律承诺书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落实社会组织党组织书记及其主要负责人意识形态工作责任，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加强社会组织意识形态阵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地建设和推进诚信建设，强化社会组织自律意识，提升社会组织公信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和综合发展服务能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在此，我单位作出如下承诺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一、始终坚持正确导向，加强对会员的教育引导。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牢牢把握正确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舆论</w:t>
      </w:r>
      <w:r>
        <w:rPr>
          <w:rFonts w:hint="eastAsia" w:ascii="仿宋_GB2312" w:hAnsi="仿宋_GB2312" w:eastAsia="仿宋_GB2312" w:cs="仿宋_GB2312"/>
          <w:sz w:val="32"/>
          <w:szCs w:val="32"/>
        </w:rPr>
        <w:t>导向，组织会员、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业人员坚持学习宣传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党的十九大、十九届历次全会和党的二十大精神，深化习近平总书记对内蒙古重要指示批示精神和对包头“一个创新、三个实现”重要指示的认识,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学习党史、新中国史、改革开放史、社会主义发展史，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坚持中国共产党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全面领导，在思想上、政治上、行动上始终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同志为核心的党中央保持高度一致。坚决做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坚持听党话、跟党走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在任何场合都不发表违背党的基本路线、党的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方针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党的决定决议、破坏民族团结等言论，不发表有政治问题的文章、演说、宣言、声明等。教育引导会员遵守国家法律法规和社会道德风尚，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践行社会主义核心价值观，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业、诚信服务、褒扬诚信、惩戒失信，有序参与社会治理、提供公共服务、承担社会责任，做社会组织信用体系建设坚定的执行者和捍卫者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加强各类意识形态阵地的建设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加强会员和会员单位的管理和引导，将意识形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工作贯穿到行业践行社会主义核心价值观全过程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加强对以下意识形态阵地的管理：1、本单位及会员设立使用的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等各类新闻媒体、网络宣传平台；2、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公开或内部发行的报刊、杂志、简报及论文集、汇编等刊物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以及文艺作品等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3、举办的形势报告会和社会科学报告会、研讨会、讲座、论坛等；4、主办的演艺场所、图书馆、文化馆、纪念馆、博物馆、美术馆、陈列馆、展览馆等；5、</w:t>
      </w:r>
      <w:r>
        <w:rPr>
          <w:rFonts w:hint="eastAsia" w:ascii="仿宋_GB2312" w:hAnsi="仿宋_GB2312" w:eastAsia="仿宋_GB2312" w:cs="仿宋_GB2312"/>
          <w:sz w:val="32"/>
          <w:szCs w:val="32"/>
        </w:rPr>
        <w:t>户外公共场所、室内办公场所的标语牌、显示屏、展板、广告等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6、其他社会组织意识形态阵地。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三、遵守意识形态工作报告制度。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党支部书记或社会组织主要负责人为第一责任人，对向上级党组织或业务主管单位汇报意识形态工作负总责。定期分析研判意识形态领域情况，对重大事件、重要情况、重要社情民意中的倾向性苗头性问题，有针对性地进行教育引导，做到有预案、有部署，随时向上级党组织或业务主管单位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四、落实重大活动申报审批制度。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举办面向社会的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评比达标表彰活动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节庆、庆典活动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论坛、研讨会、讲座、学术交流活动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展会活动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涉外活动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包括与境外组织合作或联合举办的活动，组团出国（境）、与境外组织交流活动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其他可能产生重大社会影响的活动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，必须按照章程规定履行内部工作程序，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业务主管单位和登记管理机关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、进一步规范内部治理。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依照法规政策和章程建立健全法人治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结构和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</w:t>
      </w:r>
      <w:r>
        <w:rPr>
          <w:rFonts w:hint="eastAsia" w:ascii="仿宋_GB2312" w:hAnsi="仿宋_GB2312" w:eastAsia="仿宋_GB2312" w:cs="仿宋_GB2312"/>
          <w:sz w:val="32"/>
          <w:szCs w:val="32"/>
        </w:rPr>
        <w:t>行机制以及党组织参与社会组织重大问题决策等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</w:rPr>
        <w:t>度安排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进一步完善内部治理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。充分发挥会员(代表)大会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事会、监事会的作用，落实民主选举、民主决策和民主管理，健全内部监督机制，成为责权明确、运转协调的法人主体。建立健全财务管理、监督制度，执行《民间非营利组织会计制度》，保证会计资料合法、真实、准确、完整，经费来</w:t>
      </w:r>
      <w:r>
        <w:rPr>
          <w:rFonts w:hint="eastAsia" w:ascii="仿宋_GB2312" w:hAnsi="仿宋_GB2312" w:eastAsia="仿宋_GB2312" w:cs="仿宋_GB2312"/>
          <w:sz w:val="32"/>
          <w:szCs w:val="32"/>
        </w:rPr>
        <w:t>源和资金使用符合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定，依法纳税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建立信息公开管理制度，依法依规公开登记证书、章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、业务范围、机构设置、负责人及理事会成员名单信息。重大活动情况、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务收支情况、接受捐赠和资助情况、年度工作报告等信息主动向会员公开，增加社会透明度和公信力，自觉接受政府、社会公众、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新闻舆论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的监督，积极履行社会责任。结合自身能力，为会员、行业、社会提供形式多样、内容丰富的服务活动。不强制入会，不乱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摊派</w:t>
      </w:r>
      <w:r>
        <w:rPr>
          <w:rFonts w:hint="eastAsia" w:ascii="仿宋_GB2312" w:hAnsi="仿宋_GB2312" w:eastAsia="仿宋_GB2312" w:cs="仿宋_GB2312"/>
          <w:sz w:val="32"/>
          <w:szCs w:val="32"/>
        </w:rPr>
        <w:t>、乱收费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严禁非法集资，不搞乱评比、乱培训、乱表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彰；积极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为会员提供服务，维护会员合法权益;按章程规定开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、自觉接受监督检查。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每年按照规定时间按时报送材料，接受业务主管单位及登记管理机关的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。依法办理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</w:t>
      </w:r>
      <w:r>
        <w:rPr>
          <w:rFonts w:hint="eastAsia" w:ascii="仿宋_GB2312" w:hAnsi="仿宋_GB2312" w:eastAsia="仿宋_GB2312" w:cs="仿宋_GB2312"/>
          <w:sz w:val="32"/>
          <w:szCs w:val="32"/>
        </w:rPr>
        <w:t>更登记，提供的资料均合法、真实、准确、有效。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党组织书记（签字）：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备注：未建立党组织的社会组织只需法人代表签字。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jE5ZWVkYzI1ZTE5ZGJlMzY2MDFlNjhjMmY5YzYifQ=="/>
    <w:docVar w:name="KSO_WPS_MARK_KEY" w:val="fe28784c-8fcb-4f48-b4d4-582fcdda8725"/>
  </w:docVars>
  <w:rsids>
    <w:rsidRoot w:val="4F852035"/>
    <w:rsid w:val="00B2499D"/>
    <w:rsid w:val="00D44D0F"/>
    <w:rsid w:val="0B043F53"/>
    <w:rsid w:val="14566084"/>
    <w:rsid w:val="14E27EE3"/>
    <w:rsid w:val="1D706161"/>
    <w:rsid w:val="287C1F01"/>
    <w:rsid w:val="4E17BFF3"/>
    <w:rsid w:val="4F852035"/>
    <w:rsid w:val="52D81EB5"/>
    <w:rsid w:val="673E402F"/>
    <w:rsid w:val="68C24F22"/>
    <w:rsid w:val="694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shd w:val="clear" w:color="auto" w:fill="FFFFFF"/>
      <w:spacing w:line="422" w:lineRule="auto"/>
      <w:ind w:firstLine="400"/>
    </w:pPr>
    <w:rPr>
      <w:rFonts w:ascii="MingLiU" w:hAnsi="宋体" w:eastAsia="MingLiU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2021-03-04T10:16:00Z</dcterms:created>
  <dc:creator>脚鸭子撞线</dc:creator>
  <cp:lastModifiedBy>uos</cp:lastModifiedBy>
  <cp:lastPrinted>2024-02-28T17:37:43Z</cp:lastPrinted>
  <dcterms:modified xsi:type="dcterms:W3CDTF">2024-02-28T18:32:43Z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47F296FDAF1D40F180CCF36B0644804F</vt:lpwstr>
  </property>
</Properties>
</file>